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C6979">
      <w:pPr>
        <w:ind w:firstLine="2530" w:firstLineChars="1200"/>
        <w:jc w:val="both"/>
        <w:textAlignment w:val="center"/>
        <w:rPr>
          <w:rFonts w:hint="eastAsia"/>
          <w:b/>
          <w:bCs/>
          <w:sz w:val="21"/>
          <w:szCs w:val="21"/>
        </w:rPr>
      </w:pPr>
      <w:r>
        <w:rPr>
          <w:rFonts w:hint="eastAsia"/>
          <w:b/>
          <w:bCs/>
          <w:sz w:val="21"/>
          <w:szCs w:val="21"/>
          <w:lang w:val="en-US" w:eastAsia="zh-CN"/>
        </w:rPr>
        <w:t>正心年级2024级政治必修2《经济与社会》课后练习</w:t>
      </w:r>
    </w:p>
    <w:p w14:paraId="77EC5D1B">
      <w:pPr>
        <w:jc w:val="center"/>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drawing>
          <wp:anchor distT="0" distB="0" distL="114300" distR="114300" simplePos="0" relativeHeight="251661312" behindDoc="0" locked="0" layoutInCell="1" allowOverlap="1">
            <wp:simplePos x="0" y="0"/>
            <wp:positionH relativeFrom="page">
              <wp:posOffset>11658600</wp:posOffset>
            </wp:positionH>
            <wp:positionV relativeFrom="topMargin">
              <wp:posOffset>10553700</wp:posOffset>
            </wp:positionV>
            <wp:extent cx="431800" cy="393700"/>
            <wp:effectExtent l="0" t="0" r="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8"/>
                    <a:stretch>
                      <a:fillRect/>
                    </a:stretch>
                  </pic:blipFill>
                  <pic:spPr>
                    <a:xfrm>
                      <a:off x="0" y="0"/>
                      <a:ext cx="431800" cy="393700"/>
                    </a:xfrm>
                    <a:prstGeom prst="rect">
                      <a:avLst/>
                    </a:prstGeom>
                  </pic:spPr>
                </pic:pic>
              </a:graphicData>
            </a:graphic>
          </wp:anchor>
        </w:drawing>
      </w:r>
      <w:r>
        <w:rPr>
          <w:rFonts w:hint="eastAsia" w:ascii="宋体" w:hAnsi="宋体" w:eastAsia="宋体" w:cs="宋体"/>
          <w:b/>
          <w:sz w:val="21"/>
          <w:szCs w:val="21"/>
          <w:lang w:val="en-US" w:eastAsia="zh-CN"/>
        </w:rPr>
        <w:t>3.1贯彻新发展理念</w:t>
      </w:r>
      <w:r>
        <w:rPr>
          <w:rFonts w:hint="eastAsia" w:ascii="宋体" w:hAnsi="宋体" w:eastAsia="宋体" w:cs="宋体"/>
          <w:b/>
          <w:sz w:val="21"/>
          <w:szCs w:val="21"/>
          <w:lang w:val="en-US" w:eastAsia="zh-CN"/>
        </w:rPr>
        <w:drawing>
          <wp:anchor distT="0" distB="0" distL="114300" distR="114300" simplePos="0" relativeHeight="251660288" behindDoc="0" locked="0" layoutInCell="1" allowOverlap="1">
            <wp:simplePos x="0" y="0"/>
            <wp:positionH relativeFrom="page">
              <wp:posOffset>11531600</wp:posOffset>
            </wp:positionH>
            <wp:positionV relativeFrom="topMargin">
              <wp:posOffset>10198100</wp:posOffset>
            </wp:positionV>
            <wp:extent cx="254000" cy="292100"/>
            <wp:effectExtent l="0" t="0" r="0" b="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9"/>
                    <a:stretch>
                      <a:fillRect/>
                    </a:stretch>
                  </pic:blipFill>
                  <pic:spPr>
                    <a:xfrm>
                      <a:off x="0" y="0"/>
                      <a:ext cx="254000" cy="292100"/>
                    </a:xfrm>
                    <a:prstGeom prst="rect">
                      <a:avLst/>
                    </a:prstGeom>
                  </pic:spPr>
                </pic:pic>
              </a:graphicData>
            </a:graphic>
          </wp:anchor>
        </w:drawing>
      </w:r>
    </w:p>
    <w:p w14:paraId="5FF25D10">
      <w:pPr>
        <w:spacing w:line="240" w:lineRule="auto"/>
        <w:jc w:val="left"/>
        <w:textAlignment w:val="center"/>
        <w:rPr>
          <w:rFonts w:hint="eastAsia" w:ascii="宋体" w:hAnsi="宋体" w:cs="宋体"/>
          <w:b/>
          <w:color w:val="000000"/>
          <w:sz w:val="21"/>
          <w:szCs w:val="21"/>
        </w:rPr>
      </w:pPr>
      <w:r>
        <w:rPr>
          <w:rFonts w:ascii="宋体" w:hAnsi="宋体" w:cs="宋体"/>
          <w:b/>
          <w:color w:val="000000"/>
          <w:sz w:val="21"/>
          <w:szCs w:val="21"/>
        </w:rPr>
        <w:t>一、单选题</w:t>
      </w:r>
    </w:p>
    <w:p w14:paraId="6FE91670">
      <w:pPr>
        <w:spacing w:line="240" w:lineRule="auto"/>
        <w:jc w:val="left"/>
        <w:textAlignment w:val="center"/>
        <w:rPr>
          <w:sz w:val="21"/>
          <w:szCs w:val="21"/>
        </w:rPr>
      </w:pPr>
      <w:r>
        <w:rPr>
          <w:sz w:val="21"/>
          <w:szCs w:val="21"/>
        </w:rPr>
        <w:t>1．首发经济是指企业发布新产品，推出新业态、新模式、新服务、新技术，开设首店等经济活动的总称，涵盖了企业产品或服务的首次发布、首次展出到首次落地开设门店、首次设立研发中心，再到设立企业总部的链式发展全过程。积极推进首发经济，将为消费注入新动力。助力首发经济的合理路径有（</w:t>
      </w:r>
      <w:r>
        <w:rPr>
          <w:rFonts w:eastAsia="Times New Roman"/>
          <w:kern w:val="0"/>
          <w:sz w:val="21"/>
          <w:szCs w:val="21"/>
        </w:rPr>
        <w:t>   </w:t>
      </w:r>
      <w:r>
        <w:rPr>
          <w:sz w:val="21"/>
          <w:szCs w:val="21"/>
        </w:rPr>
        <w:t>）</w:t>
      </w:r>
    </w:p>
    <w:p w14:paraId="5C0EA88B">
      <w:pPr>
        <w:spacing w:line="240" w:lineRule="auto"/>
        <w:jc w:val="left"/>
        <w:textAlignment w:val="center"/>
        <w:rPr>
          <w:sz w:val="21"/>
          <w:szCs w:val="21"/>
        </w:rPr>
      </w:pPr>
      <w:r>
        <w:rPr>
          <w:sz w:val="21"/>
          <w:szCs w:val="21"/>
        </w:rPr>
        <w:t>①坚持正确的经营战略→提高自身产品的国际竞争力→助推首发经济的发展</w:t>
      </w:r>
    </w:p>
    <w:p w14:paraId="3964BF07">
      <w:pPr>
        <w:spacing w:line="240" w:lineRule="auto"/>
        <w:jc w:val="left"/>
        <w:textAlignment w:val="center"/>
        <w:rPr>
          <w:sz w:val="21"/>
          <w:szCs w:val="21"/>
        </w:rPr>
      </w:pPr>
      <w:r>
        <w:rPr>
          <w:sz w:val="21"/>
          <w:szCs w:val="21"/>
        </w:rPr>
        <w:t>②政府完善公共基础设施建设→合理提高消费水平→积极推进首发经济发展</w:t>
      </w:r>
    </w:p>
    <w:p w14:paraId="690143E9">
      <w:pPr>
        <w:spacing w:line="240" w:lineRule="auto"/>
        <w:jc w:val="left"/>
        <w:textAlignment w:val="center"/>
        <w:rPr>
          <w:sz w:val="21"/>
          <w:szCs w:val="21"/>
        </w:rPr>
      </w:pPr>
      <w:r>
        <w:rPr>
          <w:sz w:val="21"/>
          <w:szCs w:val="21"/>
        </w:rPr>
        <w:t>③坚持创新发展理念→通过科技创新提高研发能力→为首发经济发展提供动力</w:t>
      </w:r>
    </w:p>
    <w:p w14:paraId="70972FB6">
      <w:pPr>
        <w:spacing w:line="240" w:lineRule="auto"/>
        <w:jc w:val="left"/>
        <w:textAlignment w:val="center"/>
        <w:rPr>
          <w:sz w:val="21"/>
          <w:szCs w:val="21"/>
        </w:rPr>
      </w:pPr>
      <w:r>
        <w:rPr>
          <w:sz w:val="21"/>
          <w:szCs w:val="21"/>
        </w:rPr>
        <w:t>④政府科学调控→完善市场运行的制度体系→为首发经济搭建公平的制度环境</w:t>
      </w:r>
    </w:p>
    <w:p w14:paraId="730E52CC">
      <w:pPr>
        <w:tabs>
          <w:tab w:val="left" w:pos="2078"/>
          <w:tab w:val="left" w:pos="4156"/>
          <w:tab w:val="left" w:pos="6234"/>
        </w:tabs>
        <w:spacing w:line="240" w:lineRule="auto"/>
        <w:ind w:left="300"/>
        <w:jc w:val="left"/>
        <w:textAlignment w:val="center"/>
        <w:rPr>
          <w:sz w:val="21"/>
          <w:szCs w:val="21"/>
        </w:rPr>
      </w:pPr>
      <w:r>
        <w:rPr>
          <w:sz w:val="21"/>
          <w:szCs w:val="21"/>
        </w:rPr>
        <w:t>A．①②</w:t>
      </w:r>
      <w:r>
        <w:rPr>
          <w:sz w:val="21"/>
          <w:szCs w:val="21"/>
        </w:rPr>
        <w:tab/>
      </w:r>
      <w:r>
        <w:rPr>
          <w:sz w:val="21"/>
          <w:szCs w:val="21"/>
        </w:rPr>
        <w:t>B．①③</w:t>
      </w:r>
      <w:r>
        <w:rPr>
          <w:sz w:val="21"/>
          <w:szCs w:val="21"/>
        </w:rPr>
        <w:tab/>
      </w:r>
      <w:r>
        <w:rPr>
          <w:sz w:val="21"/>
          <w:szCs w:val="21"/>
        </w:rPr>
        <w:t>C．③④</w:t>
      </w:r>
      <w:r>
        <w:rPr>
          <w:sz w:val="21"/>
          <w:szCs w:val="21"/>
        </w:rPr>
        <w:tab/>
      </w:r>
      <w:r>
        <w:rPr>
          <w:sz w:val="21"/>
          <w:szCs w:val="21"/>
        </w:rPr>
        <w:t>D．②④</w:t>
      </w:r>
    </w:p>
    <w:p w14:paraId="078B5BB7">
      <w:pPr>
        <w:spacing w:line="240" w:lineRule="auto"/>
        <w:jc w:val="left"/>
        <w:textAlignment w:val="center"/>
        <w:rPr>
          <w:sz w:val="21"/>
          <w:szCs w:val="21"/>
        </w:rPr>
      </w:pPr>
      <w:r>
        <w:rPr>
          <w:sz w:val="21"/>
          <w:szCs w:val="21"/>
        </w:rPr>
        <w:t>2．世界知识产权组织发布的2023年全球创新指数报告“科技集群”排名显示，在全球五大科技集群中，中国的深圳—香港—广州、北京、上海—苏州集群占据了三席；在全球“百强科技集群数量”排名中，中国以24个首次位列全球第一。这反映出（  ）</w:t>
      </w:r>
    </w:p>
    <w:p w14:paraId="22E6A86F">
      <w:pPr>
        <w:spacing w:line="240" w:lineRule="auto"/>
        <w:jc w:val="left"/>
        <w:textAlignment w:val="center"/>
        <w:rPr>
          <w:sz w:val="21"/>
          <w:szCs w:val="21"/>
        </w:rPr>
      </w:pPr>
      <w:r>
        <w:rPr>
          <w:sz w:val="21"/>
          <w:szCs w:val="21"/>
        </w:rPr>
        <w:t>①中国创新驱动发展战略卓有成效</w:t>
      </w:r>
      <w:r>
        <w:rPr>
          <w:rFonts w:eastAsia="Times New Roman"/>
          <w:kern w:val="0"/>
          <w:sz w:val="21"/>
          <w:szCs w:val="21"/>
        </w:rPr>
        <w:t>    </w:t>
      </w:r>
      <w:r>
        <w:rPr>
          <w:rFonts w:hint="eastAsia" w:eastAsia="宋体"/>
          <w:kern w:val="0"/>
          <w:sz w:val="21"/>
          <w:szCs w:val="21"/>
          <w:lang w:val="en-US" w:eastAsia="zh-CN"/>
        </w:rPr>
        <w:t xml:space="preserve">   </w:t>
      </w:r>
      <w:r>
        <w:rPr>
          <w:sz w:val="21"/>
          <w:szCs w:val="21"/>
        </w:rPr>
        <w:t>②创新是筑牢现代经济体系的基础</w:t>
      </w:r>
    </w:p>
    <w:p w14:paraId="5B847142">
      <w:pPr>
        <w:spacing w:line="240" w:lineRule="auto"/>
        <w:jc w:val="left"/>
        <w:textAlignment w:val="center"/>
        <w:rPr>
          <w:sz w:val="21"/>
          <w:szCs w:val="21"/>
        </w:rPr>
      </w:pPr>
      <w:r>
        <w:rPr>
          <w:sz w:val="21"/>
          <w:szCs w:val="21"/>
        </w:rPr>
        <w:t>③创新离不开国际合作和开放共享</w:t>
      </w:r>
      <w:r>
        <w:rPr>
          <w:rFonts w:eastAsia="Times New Roman"/>
          <w:kern w:val="0"/>
          <w:sz w:val="21"/>
          <w:szCs w:val="21"/>
        </w:rPr>
        <w:t>    </w:t>
      </w:r>
      <w:r>
        <w:rPr>
          <w:rFonts w:hint="eastAsia" w:eastAsia="宋体"/>
          <w:kern w:val="0"/>
          <w:sz w:val="21"/>
          <w:szCs w:val="21"/>
          <w:lang w:val="en-US" w:eastAsia="zh-CN"/>
        </w:rPr>
        <w:t xml:space="preserve">   </w:t>
      </w:r>
      <w:r>
        <w:rPr>
          <w:sz w:val="21"/>
          <w:szCs w:val="21"/>
        </w:rPr>
        <w:t>④我国注重解决经济发展动力问题</w:t>
      </w:r>
    </w:p>
    <w:p w14:paraId="02F9EB30">
      <w:pPr>
        <w:tabs>
          <w:tab w:val="left" w:pos="2078"/>
          <w:tab w:val="left" w:pos="4156"/>
          <w:tab w:val="left" w:pos="6234"/>
        </w:tabs>
        <w:spacing w:line="240" w:lineRule="auto"/>
        <w:ind w:left="300"/>
        <w:jc w:val="left"/>
        <w:textAlignment w:val="center"/>
        <w:rPr>
          <w:sz w:val="21"/>
          <w:szCs w:val="21"/>
        </w:rPr>
      </w:pPr>
      <w:r>
        <w:rPr>
          <w:sz w:val="21"/>
          <w:szCs w:val="21"/>
        </w:rPr>
        <w:t>A．①②</w:t>
      </w:r>
      <w:r>
        <w:rPr>
          <w:sz w:val="21"/>
          <w:szCs w:val="21"/>
        </w:rPr>
        <w:tab/>
      </w:r>
      <w:r>
        <w:rPr>
          <w:sz w:val="21"/>
          <w:szCs w:val="21"/>
        </w:rPr>
        <w:t>B．①④</w:t>
      </w:r>
      <w:r>
        <w:rPr>
          <w:sz w:val="21"/>
          <w:szCs w:val="21"/>
        </w:rPr>
        <w:tab/>
      </w:r>
      <w:r>
        <w:rPr>
          <w:sz w:val="21"/>
          <w:szCs w:val="21"/>
        </w:rPr>
        <w:t>C．②③</w:t>
      </w:r>
      <w:r>
        <w:rPr>
          <w:sz w:val="21"/>
          <w:szCs w:val="21"/>
        </w:rPr>
        <w:tab/>
      </w:r>
      <w:r>
        <w:rPr>
          <w:sz w:val="21"/>
          <w:szCs w:val="21"/>
        </w:rPr>
        <w:t>D．③④</w:t>
      </w:r>
    </w:p>
    <w:p w14:paraId="48C04DBB">
      <w:pPr>
        <w:spacing w:line="240" w:lineRule="auto"/>
        <w:jc w:val="left"/>
        <w:textAlignment w:val="center"/>
        <w:rPr>
          <w:sz w:val="21"/>
          <w:szCs w:val="21"/>
        </w:rPr>
      </w:pPr>
      <w:r>
        <w:rPr>
          <w:sz w:val="21"/>
          <w:szCs w:val="21"/>
        </w:rPr>
        <w:t>3．下表为中国汽车2024年第一季度销量情况（数据来源：中国汽车工业协会）</w:t>
      </w:r>
    </w:p>
    <w:tbl>
      <w:tblPr>
        <w:tblStyle w:val="4"/>
        <w:tblpPr w:leftFromText="180" w:rightFromText="180" w:vertAnchor="text" w:horzAnchor="page" w:tblpX="2170" w:tblpY="2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70"/>
        <w:gridCol w:w="780"/>
        <w:gridCol w:w="780"/>
        <w:gridCol w:w="780"/>
        <w:gridCol w:w="1140"/>
      </w:tblGrid>
      <w:tr w14:paraId="710B1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32F27F">
            <w:pPr>
              <w:spacing w:line="240" w:lineRule="auto"/>
              <w:jc w:val="left"/>
              <w:textAlignment w:val="center"/>
              <w:rPr>
                <w:sz w:val="18"/>
                <w:szCs w:val="18"/>
              </w:rPr>
            </w:pPr>
            <w:r>
              <w:rPr>
                <w:sz w:val="18"/>
                <w:szCs w:val="18"/>
              </w:rPr>
              <w:t>指标</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50DABF">
            <w:pPr>
              <w:spacing w:line="240" w:lineRule="auto"/>
              <w:jc w:val="left"/>
              <w:textAlignment w:val="center"/>
              <w:rPr>
                <w:sz w:val="18"/>
                <w:szCs w:val="18"/>
              </w:rPr>
            </w:pPr>
            <w:r>
              <w:rPr>
                <w:sz w:val="18"/>
                <w:szCs w:val="18"/>
              </w:rPr>
              <w:t>总销量</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F837C9">
            <w:pPr>
              <w:spacing w:line="240" w:lineRule="auto"/>
              <w:jc w:val="left"/>
              <w:textAlignment w:val="center"/>
              <w:rPr>
                <w:sz w:val="18"/>
                <w:szCs w:val="18"/>
              </w:rPr>
            </w:pPr>
            <w:r>
              <w:rPr>
                <w:sz w:val="18"/>
                <w:szCs w:val="18"/>
              </w:rPr>
              <w:t>乘用车</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3E8472">
            <w:pPr>
              <w:spacing w:line="240" w:lineRule="auto"/>
              <w:jc w:val="left"/>
              <w:textAlignment w:val="center"/>
              <w:rPr>
                <w:sz w:val="18"/>
                <w:szCs w:val="18"/>
              </w:rPr>
            </w:pPr>
            <w:r>
              <w:rPr>
                <w:sz w:val="18"/>
                <w:szCs w:val="18"/>
              </w:rPr>
              <w:t>商用车</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B321EF">
            <w:pPr>
              <w:spacing w:line="240" w:lineRule="auto"/>
              <w:jc w:val="left"/>
              <w:textAlignment w:val="center"/>
              <w:rPr>
                <w:sz w:val="18"/>
                <w:szCs w:val="18"/>
              </w:rPr>
            </w:pPr>
            <w:r>
              <w:rPr>
                <w:sz w:val="18"/>
                <w:szCs w:val="18"/>
              </w:rPr>
              <w:t>新能源汽车</w:t>
            </w:r>
          </w:p>
        </w:tc>
      </w:tr>
      <w:tr w14:paraId="65ACB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DF58A3">
            <w:pPr>
              <w:spacing w:line="240" w:lineRule="auto"/>
              <w:jc w:val="left"/>
              <w:textAlignment w:val="center"/>
              <w:rPr>
                <w:sz w:val="18"/>
                <w:szCs w:val="18"/>
              </w:rPr>
            </w:pPr>
            <w:r>
              <w:rPr>
                <w:sz w:val="18"/>
                <w:szCs w:val="18"/>
              </w:rPr>
              <w:t>销量（万辆）</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AD77BD">
            <w:pPr>
              <w:spacing w:line="240" w:lineRule="auto"/>
              <w:jc w:val="left"/>
              <w:textAlignment w:val="center"/>
              <w:rPr>
                <w:sz w:val="18"/>
                <w:szCs w:val="18"/>
              </w:rPr>
            </w:pPr>
            <w:r>
              <w:rPr>
                <w:sz w:val="18"/>
                <w:szCs w:val="18"/>
              </w:rPr>
              <w:t>672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676682">
            <w:pPr>
              <w:spacing w:line="240" w:lineRule="auto"/>
              <w:jc w:val="left"/>
              <w:textAlignment w:val="center"/>
              <w:rPr>
                <w:sz w:val="18"/>
                <w:szCs w:val="18"/>
              </w:rPr>
            </w:pPr>
            <w:r>
              <w:rPr>
                <w:sz w:val="18"/>
                <w:szCs w:val="18"/>
              </w:rPr>
              <w:t>568.7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86A472">
            <w:pPr>
              <w:spacing w:line="240" w:lineRule="auto"/>
              <w:jc w:val="left"/>
              <w:textAlignment w:val="center"/>
              <w:rPr>
                <w:sz w:val="18"/>
                <w:szCs w:val="18"/>
              </w:rPr>
            </w:pPr>
            <w:r>
              <w:rPr>
                <w:sz w:val="18"/>
                <w:szCs w:val="18"/>
              </w:rPr>
              <w:t>103.3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6C4FD3">
            <w:pPr>
              <w:spacing w:line="240" w:lineRule="auto"/>
              <w:jc w:val="left"/>
              <w:textAlignment w:val="center"/>
              <w:rPr>
                <w:sz w:val="18"/>
                <w:szCs w:val="18"/>
              </w:rPr>
            </w:pPr>
            <w:r>
              <w:rPr>
                <w:sz w:val="18"/>
                <w:szCs w:val="18"/>
              </w:rPr>
              <w:t>209</w:t>
            </w:r>
          </w:p>
        </w:tc>
      </w:tr>
      <w:tr w14:paraId="571DA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08E259">
            <w:pPr>
              <w:spacing w:line="240" w:lineRule="auto"/>
              <w:jc w:val="left"/>
              <w:textAlignment w:val="center"/>
              <w:rPr>
                <w:sz w:val="18"/>
                <w:szCs w:val="18"/>
              </w:rPr>
            </w:pPr>
            <w:r>
              <w:rPr>
                <w:sz w:val="18"/>
                <w:szCs w:val="18"/>
              </w:rPr>
              <w:t>同比增幅（%）</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DEF51C">
            <w:pPr>
              <w:spacing w:line="240" w:lineRule="auto"/>
              <w:jc w:val="left"/>
              <w:textAlignment w:val="center"/>
              <w:rPr>
                <w:sz w:val="18"/>
                <w:szCs w:val="18"/>
              </w:rPr>
            </w:pPr>
            <w:r>
              <w:rPr>
                <w:sz w:val="18"/>
                <w:szCs w:val="18"/>
              </w:rPr>
              <w:t>10.6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5415BA">
            <w:pPr>
              <w:spacing w:line="240" w:lineRule="auto"/>
              <w:jc w:val="left"/>
              <w:textAlignment w:val="center"/>
              <w:rPr>
                <w:sz w:val="18"/>
                <w:szCs w:val="18"/>
              </w:rPr>
            </w:pPr>
            <w:r>
              <w:rPr>
                <w:sz w:val="18"/>
                <w:szCs w:val="18"/>
              </w:rPr>
              <w:t>10.7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5054CA">
            <w:pPr>
              <w:spacing w:line="240" w:lineRule="auto"/>
              <w:jc w:val="left"/>
              <w:textAlignment w:val="center"/>
              <w:rPr>
                <w:sz w:val="18"/>
                <w:szCs w:val="18"/>
              </w:rPr>
            </w:pPr>
            <w:r>
              <w:rPr>
                <w:sz w:val="18"/>
                <w:szCs w:val="18"/>
              </w:rPr>
              <w:t>10.1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32B829">
            <w:pPr>
              <w:spacing w:line="240" w:lineRule="auto"/>
              <w:jc w:val="left"/>
              <w:textAlignment w:val="center"/>
              <w:rPr>
                <w:sz w:val="18"/>
                <w:szCs w:val="18"/>
              </w:rPr>
            </w:pPr>
            <w:r>
              <w:rPr>
                <w:sz w:val="18"/>
                <w:szCs w:val="18"/>
              </w:rPr>
              <w:t>31.8</w:t>
            </w:r>
          </w:p>
        </w:tc>
      </w:tr>
    </w:tbl>
    <w:p w14:paraId="0EAF97A9">
      <w:pPr>
        <w:spacing w:line="240" w:lineRule="auto"/>
        <w:jc w:val="left"/>
        <w:textAlignment w:val="center"/>
        <w:rPr>
          <w:sz w:val="18"/>
          <w:szCs w:val="18"/>
        </w:rPr>
      </w:pPr>
    </w:p>
    <w:p w14:paraId="6C3F6929">
      <w:pPr>
        <w:spacing w:line="240" w:lineRule="auto"/>
        <w:jc w:val="left"/>
        <w:textAlignment w:val="center"/>
        <w:rPr>
          <w:sz w:val="18"/>
          <w:szCs w:val="18"/>
        </w:rPr>
      </w:pPr>
    </w:p>
    <w:p w14:paraId="49965D8A">
      <w:pPr>
        <w:spacing w:line="240" w:lineRule="auto"/>
        <w:jc w:val="left"/>
        <w:textAlignment w:val="center"/>
        <w:rPr>
          <w:sz w:val="18"/>
          <w:szCs w:val="18"/>
        </w:rPr>
      </w:pPr>
    </w:p>
    <w:p w14:paraId="34E57675">
      <w:pPr>
        <w:spacing w:line="240" w:lineRule="auto"/>
        <w:jc w:val="left"/>
        <w:textAlignment w:val="center"/>
        <w:rPr>
          <w:sz w:val="18"/>
          <w:szCs w:val="18"/>
        </w:rPr>
      </w:pPr>
    </w:p>
    <w:p w14:paraId="064F94AD">
      <w:pPr>
        <w:spacing w:line="240" w:lineRule="auto"/>
        <w:jc w:val="left"/>
        <w:textAlignment w:val="center"/>
        <w:rPr>
          <w:sz w:val="18"/>
          <w:szCs w:val="18"/>
        </w:rPr>
      </w:pPr>
    </w:p>
    <w:p w14:paraId="51C41EC3">
      <w:pPr>
        <w:spacing w:line="240" w:lineRule="auto"/>
        <w:jc w:val="left"/>
        <w:textAlignment w:val="center"/>
        <w:rPr>
          <w:sz w:val="21"/>
          <w:szCs w:val="21"/>
        </w:rPr>
      </w:pPr>
      <w:r>
        <w:rPr>
          <w:sz w:val="18"/>
          <w:szCs w:val="18"/>
        </w:rPr>
        <w:t>（注：2022年、2023年、2024年首季度新能源汽车销售市场占有率分别为19.3%、26.1%、31.1%。）由表中信息</w:t>
      </w:r>
      <w:r>
        <w:rPr>
          <w:sz w:val="21"/>
          <w:szCs w:val="21"/>
        </w:rPr>
        <w:t>可知（</w:t>
      </w:r>
      <w:r>
        <w:rPr>
          <w:rFonts w:eastAsia="Times New Roman"/>
          <w:kern w:val="0"/>
          <w:sz w:val="21"/>
          <w:szCs w:val="21"/>
        </w:rPr>
        <w:t>   </w:t>
      </w:r>
      <w:r>
        <w:rPr>
          <w:sz w:val="21"/>
          <w:szCs w:val="21"/>
        </w:rPr>
        <w:t>）</w:t>
      </w:r>
    </w:p>
    <w:p w14:paraId="1A817740">
      <w:pPr>
        <w:spacing w:line="240" w:lineRule="auto"/>
        <w:jc w:val="left"/>
        <w:textAlignment w:val="center"/>
        <w:rPr>
          <w:sz w:val="21"/>
          <w:szCs w:val="21"/>
        </w:rPr>
      </w:pPr>
      <w:r>
        <w:rPr>
          <w:sz w:val="21"/>
          <w:szCs w:val="21"/>
        </w:rPr>
        <w:t>①新能源汽车市场发展前景广阔</w:t>
      </w:r>
      <w:r>
        <w:rPr>
          <w:rFonts w:hint="eastAsia"/>
          <w:sz w:val="21"/>
          <w:szCs w:val="21"/>
          <w:lang w:val="en-US" w:eastAsia="zh-CN"/>
        </w:rPr>
        <w:t xml:space="preserve">     </w:t>
      </w:r>
      <w:r>
        <w:rPr>
          <w:sz w:val="21"/>
          <w:szCs w:val="21"/>
        </w:rPr>
        <w:t>②传统能源汽车将被新能源汽车取代</w:t>
      </w:r>
    </w:p>
    <w:p w14:paraId="72F211DF">
      <w:pPr>
        <w:spacing w:line="240" w:lineRule="auto"/>
        <w:jc w:val="left"/>
        <w:textAlignment w:val="center"/>
        <w:rPr>
          <w:sz w:val="21"/>
          <w:szCs w:val="21"/>
        </w:rPr>
      </w:pPr>
      <w:r>
        <w:rPr>
          <w:sz w:val="21"/>
          <w:szCs w:val="21"/>
        </w:rPr>
        <w:t>③乘用车和商用车市场占有率接近</w:t>
      </w:r>
      <w:r>
        <w:rPr>
          <w:rFonts w:hint="eastAsia"/>
          <w:sz w:val="21"/>
          <w:szCs w:val="21"/>
          <w:lang w:val="en-US" w:eastAsia="zh-CN"/>
        </w:rPr>
        <w:t xml:space="preserve">   </w:t>
      </w:r>
      <w:r>
        <w:rPr>
          <w:sz w:val="21"/>
          <w:szCs w:val="21"/>
        </w:rPr>
        <w:t>④新发展理念在汽车行业得到贯彻</w:t>
      </w:r>
    </w:p>
    <w:p w14:paraId="4BA49105">
      <w:pPr>
        <w:tabs>
          <w:tab w:val="left" w:pos="2078"/>
          <w:tab w:val="left" w:pos="4156"/>
          <w:tab w:val="left" w:pos="6234"/>
        </w:tabs>
        <w:spacing w:line="240" w:lineRule="auto"/>
        <w:ind w:left="300"/>
        <w:jc w:val="left"/>
        <w:textAlignment w:val="center"/>
        <w:rPr>
          <w:sz w:val="21"/>
          <w:szCs w:val="21"/>
        </w:rPr>
      </w:pPr>
      <w:r>
        <w:rPr>
          <w:sz w:val="21"/>
          <w:szCs w:val="21"/>
        </w:rPr>
        <w:t>A．①②</w:t>
      </w:r>
      <w:r>
        <w:rPr>
          <w:sz w:val="21"/>
          <w:szCs w:val="21"/>
        </w:rPr>
        <w:tab/>
      </w:r>
      <w:r>
        <w:rPr>
          <w:sz w:val="21"/>
          <w:szCs w:val="21"/>
        </w:rPr>
        <w:t>B．①④</w:t>
      </w:r>
      <w:r>
        <w:rPr>
          <w:sz w:val="21"/>
          <w:szCs w:val="21"/>
        </w:rPr>
        <w:tab/>
      </w:r>
      <w:r>
        <w:rPr>
          <w:sz w:val="21"/>
          <w:szCs w:val="21"/>
        </w:rPr>
        <w:t>C．②③</w:t>
      </w:r>
      <w:r>
        <w:rPr>
          <w:sz w:val="21"/>
          <w:szCs w:val="21"/>
        </w:rPr>
        <w:tab/>
      </w:r>
      <w:r>
        <w:rPr>
          <w:sz w:val="21"/>
          <w:szCs w:val="21"/>
        </w:rPr>
        <w:t>D．③④</w:t>
      </w:r>
    </w:p>
    <w:p w14:paraId="035C5426">
      <w:pPr>
        <w:spacing w:line="240" w:lineRule="auto"/>
        <w:jc w:val="left"/>
        <w:textAlignment w:val="center"/>
        <w:rPr>
          <w:sz w:val="21"/>
          <w:szCs w:val="21"/>
        </w:rPr>
      </w:pPr>
      <w:r>
        <w:rPr>
          <w:sz w:val="21"/>
          <w:szCs w:val="21"/>
        </w:rPr>
        <w:t>4．2024年4月24日，商务部、财政部等7部门联合印发《汽车以旧换新补贴实施细则》。自细则印发之日至2024年12月31日期间，报废国三及以下排放标准燃油乘用车或2018年4月30日前注册登记的新能源乘用车，并购买符合节能要求乘用车新车的个人消费者，可享受一次性定额补贴。这一政策对经济影响的路径是（</w:t>
      </w:r>
      <w:r>
        <w:rPr>
          <w:rFonts w:eastAsia="Times New Roman"/>
          <w:kern w:val="0"/>
          <w:sz w:val="21"/>
          <w:szCs w:val="21"/>
        </w:rPr>
        <w:t>    </w:t>
      </w:r>
      <w:r>
        <w:rPr>
          <w:sz w:val="21"/>
          <w:szCs w:val="21"/>
        </w:rPr>
        <w:t>）</w:t>
      </w:r>
    </w:p>
    <w:p w14:paraId="0814D56E">
      <w:pPr>
        <w:spacing w:line="240" w:lineRule="auto"/>
        <w:ind w:left="300"/>
        <w:jc w:val="left"/>
        <w:textAlignment w:val="center"/>
        <w:rPr>
          <w:sz w:val="21"/>
          <w:szCs w:val="21"/>
        </w:rPr>
      </w:pPr>
      <w:r>
        <w:rPr>
          <w:sz w:val="21"/>
          <w:szCs w:val="21"/>
        </w:rPr>
        <w:t>A．汽车金融服务优化→激发汽车消费动能→畅通国内大循环</w:t>
      </w:r>
    </w:p>
    <w:p w14:paraId="224C831A">
      <w:pPr>
        <w:spacing w:line="240" w:lineRule="auto"/>
        <w:ind w:left="300"/>
        <w:jc w:val="left"/>
        <w:textAlignment w:val="center"/>
        <w:rPr>
          <w:sz w:val="21"/>
          <w:szCs w:val="21"/>
        </w:rPr>
      </w:pPr>
      <w:r>
        <w:rPr>
          <w:sz w:val="21"/>
          <w:szCs w:val="21"/>
        </w:rPr>
        <w:t>B．发放政府财政补贴→提振居民消费信心→扩大社会总需求</w:t>
      </w:r>
    </w:p>
    <w:p w14:paraId="6C4E4161">
      <w:pPr>
        <w:spacing w:line="240" w:lineRule="auto"/>
        <w:ind w:left="300"/>
        <w:jc w:val="left"/>
        <w:textAlignment w:val="center"/>
        <w:rPr>
          <w:sz w:val="21"/>
          <w:szCs w:val="21"/>
        </w:rPr>
      </w:pPr>
      <w:r>
        <w:rPr>
          <w:sz w:val="21"/>
          <w:szCs w:val="21"/>
        </w:rPr>
        <w:t>C．汽车售价普遍下调→居民消费意愿增强→提升居民生活品质</w:t>
      </w:r>
    </w:p>
    <w:p w14:paraId="112F0447">
      <w:pPr>
        <w:spacing w:line="240" w:lineRule="auto"/>
        <w:ind w:left="300"/>
        <w:jc w:val="left"/>
        <w:textAlignment w:val="center"/>
        <w:rPr>
          <w:sz w:val="21"/>
          <w:szCs w:val="21"/>
        </w:rPr>
      </w:pPr>
      <w:r>
        <w:rPr>
          <w:sz w:val="21"/>
          <w:szCs w:val="21"/>
        </w:rPr>
        <w:t>D．减税降费适度加力→财政支出结构优化→推进绿色低碳发展</w:t>
      </w:r>
    </w:p>
    <w:p w14:paraId="53C3C9C5">
      <w:pPr>
        <w:spacing w:line="240" w:lineRule="auto"/>
        <w:jc w:val="left"/>
        <w:textAlignment w:val="center"/>
        <w:rPr>
          <w:sz w:val="21"/>
          <w:szCs w:val="21"/>
        </w:rPr>
      </w:pPr>
      <w:r>
        <w:rPr>
          <w:sz w:val="21"/>
          <w:szCs w:val="21"/>
        </w:rPr>
        <w:t>5．积极应对人口老龄化是国家的一项长期战略任务。今年初，国务院办公厅印发的《关于发展银发经济增进老年人福祉的意见》提出，“加快银发经济规模化、标准化、集群化、品牌化发展”“让老年人共享发展成果、安享幸福晚年”。以下说法正确的是（</w:t>
      </w:r>
      <w:r>
        <w:rPr>
          <w:rFonts w:eastAsia="Times New Roman"/>
          <w:kern w:val="0"/>
          <w:sz w:val="21"/>
          <w:szCs w:val="21"/>
        </w:rPr>
        <w:t>   </w:t>
      </w:r>
      <w:r>
        <w:rPr>
          <w:sz w:val="21"/>
          <w:szCs w:val="21"/>
        </w:rPr>
        <w:t>）</w:t>
      </w:r>
    </w:p>
    <w:p w14:paraId="19206A54">
      <w:pPr>
        <w:spacing w:line="240" w:lineRule="auto"/>
        <w:ind w:left="300"/>
        <w:jc w:val="left"/>
        <w:textAlignment w:val="center"/>
        <w:rPr>
          <w:sz w:val="21"/>
          <w:szCs w:val="21"/>
        </w:rPr>
      </w:pPr>
      <w:r>
        <w:rPr>
          <w:sz w:val="21"/>
          <w:szCs w:val="21"/>
        </w:rPr>
        <w:t>A．小小助老餐，惠及大民生→探索老年食堂、送餐上门等形式→以营利为主要目的</w:t>
      </w:r>
    </w:p>
    <w:p w14:paraId="0B9BD13D">
      <w:pPr>
        <w:spacing w:line="240" w:lineRule="auto"/>
        <w:ind w:left="300"/>
        <w:jc w:val="left"/>
        <w:textAlignment w:val="center"/>
        <w:rPr>
          <w:sz w:val="21"/>
          <w:szCs w:val="21"/>
        </w:rPr>
      </w:pPr>
      <w:r>
        <w:rPr>
          <w:sz w:val="21"/>
          <w:szCs w:val="21"/>
        </w:rPr>
        <w:t>B．适老微改造，养老大文章→改善老年人的生活环境→精准匹配老年人个性化需求</w:t>
      </w:r>
    </w:p>
    <w:p w14:paraId="73B6D7E4">
      <w:pPr>
        <w:spacing w:line="240" w:lineRule="auto"/>
        <w:ind w:left="300"/>
        <w:jc w:val="left"/>
        <w:textAlignment w:val="center"/>
        <w:rPr>
          <w:sz w:val="21"/>
          <w:szCs w:val="21"/>
        </w:rPr>
      </w:pPr>
      <w:r>
        <w:rPr>
          <w:sz w:val="21"/>
          <w:szCs w:val="21"/>
        </w:rPr>
        <w:t>C．办好老年教育，充实晚年生活→推进医养结合→让社区居家养老更有“医”靠</w:t>
      </w:r>
    </w:p>
    <w:p w14:paraId="488531A6">
      <w:pPr>
        <w:spacing w:line="240" w:lineRule="auto"/>
        <w:ind w:left="300"/>
        <w:jc w:val="left"/>
        <w:textAlignment w:val="center"/>
        <w:rPr>
          <w:sz w:val="21"/>
          <w:szCs w:val="21"/>
        </w:rPr>
      </w:pPr>
      <w:r>
        <w:rPr>
          <w:sz w:val="21"/>
          <w:szCs w:val="21"/>
        </w:rPr>
        <w:t>D．优化健康服务，更快响应需求→扩大老年教育资源供给→帮助老年人更新知识</w:t>
      </w:r>
    </w:p>
    <w:p w14:paraId="38CE95D5">
      <w:pPr>
        <w:spacing w:line="240" w:lineRule="auto"/>
        <w:jc w:val="left"/>
        <w:textAlignment w:val="center"/>
        <w:rPr>
          <w:sz w:val="21"/>
          <w:szCs w:val="21"/>
        </w:rPr>
      </w:pPr>
      <w:r>
        <w:rPr>
          <w:sz w:val="21"/>
          <w:szCs w:val="21"/>
        </w:rPr>
        <w:t>6．“2024年4月习近平总书记在重庆考察时指出支柱产业是发展新质生产力的主阵地。”这一最新论断，为我们加快发展新质生产力进一步指明了前进方向、提供了重要遵循。下列措施有利于推动重庆支柱产业高质量发展的是（</w:t>
      </w:r>
      <w:r>
        <w:rPr>
          <w:rFonts w:eastAsia="Times New Roman"/>
          <w:kern w:val="0"/>
          <w:sz w:val="21"/>
          <w:szCs w:val="21"/>
        </w:rPr>
        <w:t>    </w:t>
      </w:r>
      <w:r>
        <w:rPr>
          <w:sz w:val="21"/>
          <w:szCs w:val="21"/>
        </w:rPr>
        <w:t>）</w:t>
      </w:r>
    </w:p>
    <w:p w14:paraId="6856CEC3">
      <w:pPr>
        <w:spacing w:line="240" w:lineRule="auto"/>
        <w:jc w:val="left"/>
        <w:textAlignment w:val="center"/>
        <w:rPr>
          <w:sz w:val="21"/>
          <w:szCs w:val="21"/>
        </w:rPr>
      </w:pPr>
      <w:r>
        <w:rPr>
          <w:sz w:val="21"/>
          <w:szCs w:val="21"/>
        </w:rPr>
        <w:t>①推进科技创新和支柱产业创新深度融合，充分激发多元创新联动效应</w:t>
      </w:r>
    </w:p>
    <w:p w14:paraId="65470C7E">
      <w:pPr>
        <w:spacing w:line="240" w:lineRule="auto"/>
        <w:jc w:val="left"/>
        <w:textAlignment w:val="center"/>
        <w:rPr>
          <w:sz w:val="21"/>
          <w:szCs w:val="21"/>
        </w:rPr>
      </w:pPr>
      <w:r>
        <w:rPr>
          <w:sz w:val="21"/>
          <w:szCs w:val="21"/>
        </w:rPr>
        <w:t>②加快开辟低空经济、生物制造等新领域，塑造发展新优势</w:t>
      </w:r>
    </w:p>
    <w:p w14:paraId="71B72F10">
      <w:pPr>
        <w:spacing w:line="240" w:lineRule="auto"/>
        <w:jc w:val="left"/>
        <w:textAlignment w:val="center"/>
        <w:rPr>
          <w:sz w:val="21"/>
          <w:szCs w:val="21"/>
        </w:rPr>
      </w:pPr>
      <w:r>
        <w:rPr>
          <w:sz w:val="21"/>
          <w:szCs w:val="21"/>
        </w:rPr>
        <w:t>③前瞻布局战略性新兴产业、未来产业，逐步淘汰传统支柱产业</w:t>
      </w:r>
    </w:p>
    <w:p w14:paraId="1B956B3B">
      <w:pPr>
        <w:spacing w:line="240" w:lineRule="auto"/>
        <w:jc w:val="left"/>
        <w:textAlignment w:val="center"/>
        <w:rPr>
          <w:sz w:val="21"/>
          <w:szCs w:val="21"/>
        </w:rPr>
      </w:pPr>
      <w:r>
        <w:rPr>
          <w:sz w:val="21"/>
          <w:szCs w:val="21"/>
        </w:rPr>
        <w:t>④深化改革赋能提质增效，增强支柱产业对国民经济的控制力</w:t>
      </w:r>
    </w:p>
    <w:p w14:paraId="4E3F77FF">
      <w:pPr>
        <w:tabs>
          <w:tab w:val="left" w:pos="2078"/>
          <w:tab w:val="left" w:pos="4156"/>
          <w:tab w:val="left" w:pos="6234"/>
        </w:tabs>
        <w:spacing w:line="240" w:lineRule="auto"/>
        <w:ind w:left="300"/>
        <w:jc w:val="left"/>
        <w:textAlignment w:val="center"/>
        <w:rPr>
          <w:sz w:val="21"/>
          <w:szCs w:val="21"/>
        </w:rPr>
      </w:pPr>
      <w:r>
        <w:rPr>
          <w:sz w:val="21"/>
          <w:szCs w:val="21"/>
        </w:rPr>
        <w:t>A．②④</w:t>
      </w:r>
      <w:r>
        <w:rPr>
          <w:sz w:val="21"/>
          <w:szCs w:val="21"/>
        </w:rPr>
        <w:tab/>
      </w:r>
      <w:r>
        <w:rPr>
          <w:sz w:val="21"/>
          <w:szCs w:val="21"/>
        </w:rPr>
        <w:t>B．③④</w:t>
      </w:r>
      <w:r>
        <w:rPr>
          <w:sz w:val="21"/>
          <w:szCs w:val="21"/>
        </w:rPr>
        <w:tab/>
      </w:r>
      <w:r>
        <w:rPr>
          <w:sz w:val="21"/>
          <w:szCs w:val="21"/>
        </w:rPr>
        <w:t>C．①②</w:t>
      </w:r>
      <w:r>
        <w:rPr>
          <w:sz w:val="21"/>
          <w:szCs w:val="21"/>
        </w:rPr>
        <w:tab/>
      </w:r>
      <w:r>
        <w:rPr>
          <w:sz w:val="21"/>
          <w:szCs w:val="21"/>
        </w:rPr>
        <w:t>D．①③</w:t>
      </w:r>
    </w:p>
    <w:p w14:paraId="73EB4900">
      <w:pPr>
        <w:spacing w:line="240" w:lineRule="auto"/>
        <w:jc w:val="left"/>
        <w:textAlignment w:val="center"/>
        <w:rPr>
          <w:sz w:val="21"/>
          <w:szCs w:val="21"/>
        </w:rPr>
      </w:pPr>
      <w:r>
        <w:rPr>
          <w:sz w:val="21"/>
          <w:szCs w:val="21"/>
        </w:rPr>
        <w:t>7．碳排放权交易是通过市场机制控制和减少二氧化碳等温室气体排放、助力积极稳妥推进碳达峰碳中和的重要政策工具。2024年2月，国务院公布《碳排放权交易管理暂行条例》，自2024年5月1日起施行，为全国碳排放权交易市场运行管理提供明确法律依据，保障碳排放权交易政策功能的发挥。这表明(</w:t>
      </w:r>
      <w:r>
        <w:rPr>
          <w:rFonts w:eastAsia="Times New Roman"/>
          <w:kern w:val="0"/>
          <w:sz w:val="21"/>
          <w:szCs w:val="21"/>
        </w:rPr>
        <w:t>   </w:t>
      </w:r>
      <w:r>
        <w:rPr>
          <w:sz w:val="21"/>
          <w:szCs w:val="21"/>
        </w:rPr>
        <w:t>)</w:t>
      </w:r>
    </w:p>
    <w:p w14:paraId="245C7D43">
      <w:pPr>
        <w:spacing w:line="240" w:lineRule="auto"/>
        <w:jc w:val="left"/>
        <w:textAlignment w:val="center"/>
        <w:rPr>
          <w:sz w:val="21"/>
          <w:szCs w:val="21"/>
        </w:rPr>
      </w:pPr>
      <w:r>
        <w:rPr>
          <w:sz w:val="21"/>
          <w:szCs w:val="21"/>
        </w:rPr>
        <w:t>①政府积极履职推动建设人与自然和谐共生的现代化</w:t>
      </w:r>
    </w:p>
    <w:p w14:paraId="0B3E3B59">
      <w:pPr>
        <w:spacing w:line="240" w:lineRule="auto"/>
        <w:jc w:val="left"/>
        <w:textAlignment w:val="center"/>
        <w:rPr>
          <w:sz w:val="21"/>
          <w:szCs w:val="21"/>
        </w:rPr>
      </w:pPr>
      <w:r>
        <w:rPr>
          <w:sz w:val="21"/>
          <w:szCs w:val="21"/>
        </w:rPr>
        <w:t>②我国不断健全和完善市场体系，努力落实碳排放目标</w:t>
      </w:r>
    </w:p>
    <w:p w14:paraId="6D778E29">
      <w:pPr>
        <w:spacing w:line="240" w:lineRule="auto"/>
        <w:jc w:val="left"/>
        <w:textAlignment w:val="center"/>
        <w:rPr>
          <w:sz w:val="21"/>
          <w:szCs w:val="21"/>
        </w:rPr>
      </w:pPr>
      <w:r>
        <w:rPr>
          <w:sz w:val="21"/>
          <w:szCs w:val="21"/>
        </w:rPr>
        <w:t>③社会主义市场经济的健康运行需要良好的法治环境</w:t>
      </w:r>
    </w:p>
    <w:p w14:paraId="1E95AA04">
      <w:pPr>
        <w:spacing w:line="240" w:lineRule="auto"/>
        <w:jc w:val="left"/>
        <w:textAlignment w:val="center"/>
        <w:rPr>
          <w:sz w:val="21"/>
          <w:szCs w:val="21"/>
        </w:rPr>
      </w:pPr>
      <w:r>
        <w:rPr>
          <w:sz w:val="21"/>
          <w:szCs w:val="21"/>
        </w:rPr>
        <w:t>④社会主义市场经济能实现有为市场和有效政府的统一</w:t>
      </w:r>
    </w:p>
    <w:p w14:paraId="6EA81D50">
      <w:pPr>
        <w:tabs>
          <w:tab w:val="left" w:pos="2078"/>
          <w:tab w:val="left" w:pos="4156"/>
          <w:tab w:val="left" w:pos="6234"/>
        </w:tabs>
        <w:spacing w:line="240" w:lineRule="auto"/>
        <w:ind w:left="300"/>
        <w:jc w:val="left"/>
        <w:textAlignment w:val="center"/>
        <w:rPr>
          <w:sz w:val="21"/>
          <w:szCs w:val="21"/>
        </w:rPr>
      </w:pPr>
      <w:r>
        <w:rPr>
          <w:sz w:val="21"/>
          <w:szCs w:val="21"/>
        </w:rPr>
        <w:t>A．①③</w:t>
      </w:r>
      <w:r>
        <w:rPr>
          <w:sz w:val="21"/>
          <w:szCs w:val="21"/>
        </w:rPr>
        <w:tab/>
      </w:r>
      <w:r>
        <w:rPr>
          <w:sz w:val="21"/>
          <w:szCs w:val="21"/>
        </w:rPr>
        <w:t>B．①④</w:t>
      </w:r>
      <w:r>
        <w:rPr>
          <w:sz w:val="21"/>
          <w:szCs w:val="21"/>
        </w:rPr>
        <w:tab/>
      </w:r>
      <w:r>
        <w:rPr>
          <w:sz w:val="21"/>
          <w:szCs w:val="21"/>
        </w:rPr>
        <w:t>C．②③</w:t>
      </w:r>
      <w:r>
        <w:rPr>
          <w:sz w:val="21"/>
          <w:szCs w:val="21"/>
        </w:rPr>
        <w:tab/>
      </w:r>
      <w:r>
        <w:rPr>
          <w:sz w:val="21"/>
          <w:szCs w:val="21"/>
        </w:rPr>
        <w:t>D．②④</w:t>
      </w:r>
    </w:p>
    <w:p w14:paraId="4279794D">
      <w:pPr>
        <w:spacing w:line="240" w:lineRule="auto"/>
        <w:jc w:val="left"/>
        <w:textAlignment w:val="center"/>
        <w:rPr>
          <w:sz w:val="21"/>
          <w:szCs w:val="21"/>
        </w:rPr>
      </w:pPr>
      <w:r>
        <w:rPr>
          <w:sz w:val="21"/>
          <w:szCs w:val="21"/>
        </w:rPr>
        <w:t>8．《粤港澳大湾区发展规划纲要》实施5年来，大湾区加快推进基础设施互通、规则衔接、人员流动，构建以横琴、前海、南沙、河套为主的重大合作平台体系，推动湾区在新能源、人工智能等战略性新兴产业融合集群发展，“深圳—香港—广州”科技集群连续4年蝉联全球第二位。粤港澳大湾区（</w:t>
      </w:r>
      <w:r>
        <w:rPr>
          <w:rFonts w:eastAsia="Times New Roman"/>
          <w:kern w:val="0"/>
          <w:sz w:val="21"/>
          <w:szCs w:val="21"/>
        </w:rPr>
        <w:t>   </w:t>
      </w:r>
      <w:r>
        <w:rPr>
          <w:sz w:val="21"/>
          <w:szCs w:val="21"/>
        </w:rPr>
        <w:t>）</w:t>
      </w:r>
    </w:p>
    <w:p w14:paraId="492F66E6">
      <w:pPr>
        <w:spacing w:line="240" w:lineRule="auto"/>
        <w:jc w:val="left"/>
        <w:textAlignment w:val="center"/>
        <w:rPr>
          <w:sz w:val="21"/>
          <w:szCs w:val="21"/>
        </w:rPr>
      </w:pPr>
      <w:r>
        <w:rPr>
          <w:sz w:val="21"/>
          <w:szCs w:val="21"/>
        </w:rPr>
        <w:t>①坚持创新驱动发展，释放大湾区城市集群力</w:t>
      </w:r>
    </w:p>
    <w:p w14:paraId="3A8B5CEC">
      <w:pPr>
        <w:spacing w:line="240" w:lineRule="auto"/>
        <w:jc w:val="left"/>
        <w:textAlignment w:val="center"/>
        <w:rPr>
          <w:sz w:val="21"/>
          <w:szCs w:val="21"/>
        </w:rPr>
      </w:pPr>
      <w:r>
        <w:rPr>
          <w:sz w:val="21"/>
          <w:szCs w:val="21"/>
        </w:rPr>
        <w:t>②坚持新发展理念，加快建设现代化经济体系</w:t>
      </w:r>
    </w:p>
    <w:p w14:paraId="0F789BA2">
      <w:pPr>
        <w:spacing w:line="240" w:lineRule="auto"/>
        <w:jc w:val="left"/>
        <w:textAlignment w:val="center"/>
        <w:rPr>
          <w:sz w:val="21"/>
          <w:szCs w:val="21"/>
        </w:rPr>
      </w:pPr>
      <w:r>
        <w:rPr>
          <w:sz w:val="21"/>
          <w:szCs w:val="21"/>
        </w:rPr>
        <w:t>③通过规划发挥宏观调控在资源配置中的基础性作用</w:t>
      </w:r>
    </w:p>
    <w:p w14:paraId="20F75DC9">
      <w:pPr>
        <w:spacing w:line="240" w:lineRule="auto"/>
        <w:jc w:val="left"/>
        <w:textAlignment w:val="center"/>
        <w:rPr>
          <w:sz w:val="21"/>
          <w:szCs w:val="21"/>
        </w:rPr>
      </w:pPr>
      <w:r>
        <w:rPr>
          <w:sz w:val="21"/>
          <w:szCs w:val="21"/>
        </w:rPr>
        <w:t>④坚持区域协调发展，确保粤港澳大湾区国际竞争力</w:t>
      </w:r>
    </w:p>
    <w:p w14:paraId="4CD5A9E2">
      <w:pPr>
        <w:tabs>
          <w:tab w:val="left" w:pos="2078"/>
          <w:tab w:val="left" w:pos="4156"/>
          <w:tab w:val="left" w:pos="6234"/>
        </w:tabs>
        <w:spacing w:line="240" w:lineRule="auto"/>
        <w:ind w:left="300"/>
        <w:jc w:val="left"/>
        <w:textAlignment w:val="center"/>
        <w:rPr>
          <w:sz w:val="21"/>
          <w:szCs w:val="21"/>
        </w:rPr>
      </w:pPr>
      <w:r>
        <w:rPr>
          <w:sz w:val="21"/>
          <w:szCs w:val="21"/>
        </w:rPr>
        <w:t>A．①②</w:t>
      </w:r>
      <w:r>
        <w:rPr>
          <w:sz w:val="21"/>
          <w:szCs w:val="21"/>
        </w:rPr>
        <w:tab/>
      </w:r>
      <w:r>
        <w:rPr>
          <w:sz w:val="21"/>
          <w:szCs w:val="21"/>
        </w:rPr>
        <w:t>B．②③</w:t>
      </w:r>
      <w:r>
        <w:rPr>
          <w:sz w:val="21"/>
          <w:szCs w:val="21"/>
        </w:rPr>
        <w:tab/>
      </w:r>
      <w:r>
        <w:rPr>
          <w:sz w:val="21"/>
          <w:szCs w:val="21"/>
        </w:rPr>
        <w:t>C．①④</w:t>
      </w:r>
      <w:r>
        <w:rPr>
          <w:sz w:val="21"/>
          <w:szCs w:val="21"/>
        </w:rPr>
        <w:tab/>
      </w:r>
      <w:r>
        <w:rPr>
          <w:sz w:val="21"/>
          <w:szCs w:val="21"/>
        </w:rPr>
        <w:t>D．③④</w:t>
      </w:r>
    </w:p>
    <w:p w14:paraId="3BE30FFB">
      <w:pPr>
        <w:spacing w:line="240" w:lineRule="auto"/>
        <w:jc w:val="left"/>
        <w:textAlignment w:val="center"/>
        <w:rPr>
          <w:sz w:val="21"/>
          <w:szCs w:val="21"/>
        </w:rPr>
      </w:pPr>
      <w:r>
        <w:rPr>
          <w:sz w:val="21"/>
          <w:szCs w:val="21"/>
        </w:rPr>
        <w:t>9．2023年以来，S市聚焦企业和群众提出的审批时间长、流程和材料不够精简、排队时间长等“急难愁盼”问题，深入推进审批改革、积极简化审批流程，打通“生态高速”开启绿色发展“新引擎”，全面助力企业绿色、健康、快速发展。从中可以感悟到（</w:t>
      </w:r>
      <w:r>
        <w:rPr>
          <w:rFonts w:eastAsia="Times New Roman"/>
          <w:kern w:val="0"/>
          <w:sz w:val="21"/>
          <w:szCs w:val="21"/>
        </w:rPr>
        <w:t>   </w:t>
      </w:r>
      <w:r>
        <w:rPr>
          <w:sz w:val="21"/>
          <w:szCs w:val="21"/>
        </w:rPr>
        <w:t>）</w:t>
      </w:r>
    </w:p>
    <w:p w14:paraId="4EBDA403">
      <w:pPr>
        <w:spacing w:line="240" w:lineRule="auto"/>
        <w:jc w:val="left"/>
        <w:textAlignment w:val="center"/>
        <w:rPr>
          <w:sz w:val="21"/>
          <w:szCs w:val="21"/>
        </w:rPr>
      </w:pPr>
      <w:r>
        <w:rPr>
          <w:sz w:val="21"/>
          <w:szCs w:val="21"/>
        </w:rPr>
        <w:t>①环境利益是企业经营的目标追求</w:t>
      </w:r>
      <w:r>
        <w:rPr>
          <w:rFonts w:eastAsia="Times New Roman"/>
          <w:kern w:val="0"/>
          <w:sz w:val="21"/>
          <w:szCs w:val="21"/>
        </w:rPr>
        <w:t>                </w:t>
      </w:r>
      <w:r>
        <w:rPr>
          <w:rFonts w:hint="eastAsia" w:eastAsia="宋体"/>
          <w:kern w:val="0"/>
          <w:sz w:val="21"/>
          <w:szCs w:val="21"/>
          <w:lang w:val="en-US" w:eastAsia="zh-CN"/>
        </w:rPr>
        <w:t xml:space="preserve">  </w:t>
      </w:r>
      <w:r>
        <w:rPr>
          <w:sz w:val="21"/>
          <w:szCs w:val="21"/>
        </w:rPr>
        <w:t>②我国贯彻和践行绿色发展理念</w:t>
      </w:r>
    </w:p>
    <w:p w14:paraId="19525B9E">
      <w:pPr>
        <w:spacing w:line="240" w:lineRule="auto"/>
        <w:jc w:val="left"/>
        <w:textAlignment w:val="center"/>
        <w:rPr>
          <w:sz w:val="21"/>
          <w:szCs w:val="21"/>
        </w:rPr>
      </w:pPr>
      <w:r>
        <w:rPr>
          <w:sz w:val="21"/>
          <w:szCs w:val="21"/>
        </w:rPr>
        <w:t>③绿色发展是实现高质量发展的第一动力</w:t>
      </w:r>
      <w:r>
        <w:rPr>
          <w:rFonts w:eastAsia="Times New Roman"/>
          <w:kern w:val="0"/>
          <w:sz w:val="21"/>
          <w:szCs w:val="21"/>
        </w:rPr>
        <w:t>        </w:t>
      </w:r>
      <w:r>
        <w:rPr>
          <w:sz w:val="21"/>
          <w:szCs w:val="21"/>
        </w:rPr>
        <w:t>④我国坚持以人民为中心的发展思想</w:t>
      </w:r>
    </w:p>
    <w:p w14:paraId="0791854F">
      <w:pPr>
        <w:tabs>
          <w:tab w:val="left" w:pos="2078"/>
          <w:tab w:val="left" w:pos="4156"/>
          <w:tab w:val="left" w:pos="6234"/>
        </w:tabs>
        <w:spacing w:line="240" w:lineRule="auto"/>
        <w:ind w:left="300"/>
        <w:jc w:val="left"/>
        <w:textAlignment w:val="center"/>
        <w:rPr>
          <w:sz w:val="21"/>
          <w:szCs w:val="21"/>
        </w:rPr>
      </w:pPr>
      <w:r>
        <w:rPr>
          <w:sz w:val="21"/>
          <w:szCs w:val="21"/>
        </w:rPr>
        <w:t>A．①③</w:t>
      </w:r>
      <w:r>
        <w:rPr>
          <w:sz w:val="21"/>
          <w:szCs w:val="21"/>
        </w:rPr>
        <w:tab/>
      </w:r>
      <w:r>
        <w:rPr>
          <w:sz w:val="21"/>
          <w:szCs w:val="21"/>
        </w:rPr>
        <w:t>B．①④</w:t>
      </w:r>
      <w:r>
        <w:rPr>
          <w:sz w:val="21"/>
          <w:szCs w:val="21"/>
        </w:rPr>
        <w:tab/>
      </w:r>
      <w:r>
        <w:rPr>
          <w:sz w:val="21"/>
          <w:szCs w:val="21"/>
        </w:rPr>
        <w:t>C．②③</w:t>
      </w:r>
      <w:r>
        <w:rPr>
          <w:sz w:val="21"/>
          <w:szCs w:val="21"/>
        </w:rPr>
        <w:tab/>
      </w:r>
      <w:r>
        <w:rPr>
          <w:sz w:val="21"/>
          <w:szCs w:val="21"/>
        </w:rPr>
        <w:t>D．②④</w:t>
      </w:r>
    </w:p>
    <w:p w14:paraId="0CD14D5A">
      <w:pPr>
        <w:spacing w:line="240" w:lineRule="auto"/>
        <w:jc w:val="left"/>
        <w:textAlignment w:val="center"/>
        <w:rPr>
          <w:sz w:val="21"/>
          <w:szCs w:val="21"/>
        </w:rPr>
      </w:pPr>
      <w:r>
        <w:rPr>
          <w:sz w:val="21"/>
          <w:szCs w:val="21"/>
        </w:rPr>
        <w:t>10．2023年7月底，华北、东北、黄淮等地出现极端降雨，引发洪涝和地质灾害。12月，甘肃临夏州积石山县发生6.2级地震。习近平总书记一直牵挂着受灾群众，要求有关地方和部门全力保障人民群众生命财产安全，共同构筑起风雨同舟、守护家园的坚固防线。做好救灾和灾后恢复重建工作，下列传导正确的是（</w:t>
      </w:r>
      <w:r>
        <w:rPr>
          <w:rFonts w:eastAsia="Times New Roman"/>
          <w:kern w:val="0"/>
          <w:sz w:val="21"/>
          <w:szCs w:val="21"/>
        </w:rPr>
        <w:t>   </w:t>
      </w:r>
      <w:r>
        <w:rPr>
          <w:sz w:val="21"/>
          <w:szCs w:val="21"/>
        </w:rPr>
        <w:t>）</w:t>
      </w:r>
    </w:p>
    <w:p w14:paraId="3168107B">
      <w:pPr>
        <w:spacing w:line="240" w:lineRule="auto"/>
        <w:jc w:val="left"/>
        <w:textAlignment w:val="center"/>
        <w:rPr>
          <w:sz w:val="21"/>
          <w:szCs w:val="21"/>
        </w:rPr>
      </w:pPr>
      <w:r>
        <w:rPr>
          <w:sz w:val="21"/>
          <w:szCs w:val="21"/>
        </w:rPr>
        <w:t>①政府增发国债→利用“看不见的手”→调节资源在全社会的配置</w:t>
      </w:r>
    </w:p>
    <w:p w14:paraId="004D050C">
      <w:pPr>
        <w:spacing w:line="240" w:lineRule="auto"/>
        <w:jc w:val="left"/>
        <w:textAlignment w:val="center"/>
        <w:rPr>
          <w:sz w:val="21"/>
          <w:szCs w:val="21"/>
        </w:rPr>
      </w:pPr>
      <w:r>
        <w:rPr>
          <w:sz w:val="21"/>
          <w:szCs w:val="21"/>
        </w:rPr>
        <w:t>②增加国家财政支出→刺激社会总供给→促进国民经济健康平稳运行</w:t>
      </w:r>
    </w:p>
    <w:p w14:paraId="25C73FFA">
      <w:pPr>
        <w:spacing w:line="240" w:lineRule="auto"/>
        <w:jc w:val="left"/>
        <w:textAlignment w:val="center"/>
        <w:rPr>
          <w:sz w:val="21"/>
          <w:szCs w:val="21"/>
        </w:rPr>
      </w:pPr>
      <w:r>
        <w:rPr>
          <w:sz w:val="21"/>
          <w:szCs w:val="21"/>
        </w:rPr>
        <w:t>③贯彻新发展理念→不断改善民生→全力保障人民群众生命财产安全</w:t>
      </w:r>
    </w:p>
    <w:p w14:paraId="67EE3083">
      <w:pPr>
        <w:spacing w:line="240" w:lineRule="auto"/>
        <w:jc w:val="left"/>
        <w:textAlignment w:val="center"/>
        <w:rPr>
          <w:sz w:val="21"/>
          <w:szCs w:val="21"/>
        </w:rPr>
      </w:pPr>
      <w:r>
        <w:rPr>
          <w:sz w:val="21"/>
          <w:szCs w:val="21"/>
        </w:rPr>
        <w:t>④银行强化信贷支持→加大货币政策支持力度→提升恢复重建金融服务质效</w:t>
      </w:r>
    </w:p>
    <w:p w14:paraId="37C7FFE3">
      <w:pPr>
        <w:tabs>
          <w:tab w:val="left" w:pos="2078"/>
          <w:tab w:val="left" w:pos="4156"/>
          <w:tab w:val="left" w:pos="6234"/>
        </w:tabs>
        <w:spacing w:line="240" w:lineRule="auto"/>
        <w:jc w:val="left"/>
        <w:textAlignment w:val="center"/>
        <w:rPr>
          <w:sz w:val="21"/>
          <w:szCs w:val="21"/>
        </w:rPr>
      </w:pPr>
      <w:r>
        <w:rPr>
          <w:sz w:val="21"/>
          <w:szCs w:val="21"/>
        </w:rPr>
        <w:t>A．①②</w:t>
      </w:r>
      <w:r>
        <w:rPr>
          <w:sz w:val="21"/>
          <w:szCs w:val="21"/>
        </w:rPr>
        <w:tab/>
      </w:r>
      <w:r>
        <w:rPr>
          <w:sz w:val="21"/>
          <w:szCs w:val="21"/>
        </w:rPr>
        <w:t>B．①④</w:t>
      </w:r>
      <w:r>
        <w:rPr>
          <w:sz w:val="21"/>
          <w:szCs w:val="21"/>
        </w:rPr>
        <w:tab/>
      </w:r>
      <w:r>
        <w:rPr>
          <w:sz w:val="21"/>
          <w:szCs w:val="21"/>
        </w:rPr>
        <w:t>C．②③</w:t>
      </w:r>
      <w:r>
        <w:rPr>
          <w:sz w:val="21"/>
          <w:szCs w:val="21"/>
        </w:rPr>
        <w:tab/>
      </w:r>
      <w:r>
        <w:rPr>
          <w:sz w:val="21"/>
          <w:szCs w:val="21"/>
        </w:rPr>
        <w:t>D．③④</w:t>
      </w:r>
    </w:p>
    <w:p w14:paraId="0EB06955">
      <w:pPr>
        <w:spacing w:line="240" w:lineRule="auto"/>
        <w:jc w:val="left"/>
        <w:textAlignment w:val="center"/>
        <w:rPr>
          <w:sz w:val="21"/>
          <w:szCs w:val="21"/>
        </w:rPr>
      </w:pPr>
      <w:r>
        <w:rPr>
          <w:sz w:val="21"/>
          <w:szCs w:val="21"/>
        </w:rPr>
        <w:t>11．随着生活工作节奏开始加快，以“上门代厨”“上门喂养”等为代表的“上门经济”，成为很多年轻人追求效率与便利的新潮流。我国现有上门服务相关企业1.45万家，涵盖了家政、洗衣、美发美容、维修、生鲜、杂货等各个领域。上述变化（</w:t>
      </w:r>
      <w:r>
        <w:rPr>
          <w:rFonts w:eastAsia="Times New Roman"/>
          <w:kern w:val="0"/>
          <w:sz w:val="21"/>
          <w:szCs w:val="21"/>
        </w:rPr>
        <w:t>   </w:t>
      </w:r>
      <w:r>
        <w:rPr>
          <w:sz w:val="21"/>
          <w:szCs w:val="21"/>
        </w:rPr>
        <w:t>）</w:t>
      </w:r>
    </w:p>
    <w:p w14:paraId="550E4C1A">
      <w:pPr>
        <w:spacing w:line="240" w:lineRule="auto"/>
        <w:jc w:val="left"/>
        <w:textAlignment w:val="center"/>
        <w:rPr>
          <w:sz w:val="21"/>
          <w:szCs w:val="21"/>
        </w:rPr>
      </w:pPr>
      <w:r>
        <w:rPr>
          <w:sz w:val="21"/>
          <w:szCs w:val="21"/>
        </w:rPr>
        <w:t>①能满足多样化、个性化的消费需求</w:t>
      </w:r>
      <w:r>
        <w:rPr>
          <w:rFonts w:hint="eastAsia"/>
          <w:sz w:val="21"/>
          <w:szCs w:val="21"/>
          <w:lang w:val="en-US" w:eastAsia="zh-CN"/>
        </w:rPr>
        <w:t xml:space="preserve">    </w:t>
      </w:r>
      <w:r>
        <w:rPr>
          <w:sz w:val="21"/>
          <w:szCs w:val="21"/>
        </w:rPr>
        <w:t>②代表了主流消费方式和消费升级趋势</w:t>
      </w:r>
    </w:p>
    <w:p w14:paraId="7A270B4C">
      <w:pPr>
        <w:spacing w:line="240" w:lineRule="auto"/>
        <w:jc w:val="left"/>
        <w:textAlignment w:val="center"/>
        <w:rPr>
          <w:sz w:val="21"/>
          <w:szCs w:val="21"/>
        </w:rPr>
      </w:pPr>
      <w:r>
        <w:rPr>
          <w:sz w:val="21"/>
          <w:szCs w:val="21"/>
        </w:rPr>
        <w:t>③有利于创造更多的灵活就业机会</w:t>
      </w:r>
      <w:r>
        <w:rPr>
          <w:rFonts w:hint="eastAsia"/>
          <w:sz w:val="21"/>
          <w:szCs w:val="21"/>
          <w:lang w:val="en-US" w:eastAsia="zh-CN"/>
        </w:rPr>
        <w:t xml:space="preserve">      </w:t>
      </w:r>
      <w:r>
        <w:rPr>
          <w:sz w:val="21"/>
          <w:szCs w:val="21"/>
        </w:rPr>
        <w:t>④会导致年轻人的非理性消费行为增多</w:t>
      </w:r>
    </w:p>
    <w:p w14:paraId="46E95028">
      <w:pPr>
        <w:tabs>
          <w:tab w:val="left" w:pos="2078"/>
          <w:tab w:val="left" w:pos="4156"/>
          <w:tab w:val="left" w:pos="6234"/>
        </w:tabs>
        <w:spacing w:line="240" w:lineRule="auto"/>
        <w:jc w:val="left"/>
        <w:textAlignment w:val="center"/>
        <w:rPr>
          <w:sz w:val="21"/>
          <w:szCs w:val="21"/>
        </w:rPr>
      </w:pPr>
      <w:r>
        <w:rPr>
          <w:sz w:val="21"/>
          <w:szCs w:val="21"/>
        </w:rPr>
        <w:t>A．①②</w:t>
      </w:r>
      <w:r>
        <w:rPr>
          <w:sz w:val="21"/>
          <w:szCs w:val="21"/>
        </w:rPr>
        <w:tab/>
      </w:r>
      <w:r>
        <w:rPr>
          <w:sz w:val="21"/>
          <w:szCs w:val="21"/>
        </w:rPr>
        <w:t>B．①③</w:t>
      </w:r>
      <w:r>
        <w:rPr>
          <w:sz w:val="21"/>
          <w:szCs w:val="21"/>
        </w:rPr>
        <w:tab/>
      </w:r>
      <w:r>
        <w:rPr>
          <w:sz w:val="21"/>
          <w:szCs w:val="21"/>
        </w:rPr>
        <w:t>C．②④</w:t>
      </w:r>
      <w:r>
        <w:rPr>
          <w:sz w:val="21"/>
          <w:szCs w:val="21"/>
        </w:rPr>
        <w:tab/>
      </w:r>
      <w:r>
        <w:rPr>
          <w:sz w:val="21"/>
          <w:szCs w:val="21"/>
        </w:rPr>
        <w:t>D．③④</w:t>
      </w:r>
    </w:p>
    <w:p w14:paraId="7FB4D795">
      <w:pPr>
        <w:spacing w:line="240" w:lineRule="auto"/>
        <w:jc w:val="left"/>
        <w:textAlignment w:val="center"/>
        <w:rPr>
          <w:sz w:val="21"/>
          <w:szCs w:val="21"/>
        </w:rPr>
      </w:pPr>
      <w:r>
        <w:rPr>
          <w:sz w:val="21"/>
          <w:szCs w:val="21"/>
        </w:rPr>
        <w:t>12．岁末国资委晒出2023年央企“成绩单”；实现营业收入39.8万亿元、利润总额2.6万亿元、归属母公司净利润1.1万亿元，实现高质量的稳步增长；累计完成固定资产投资（含房地产）5.09万亿元、同比增长11.4%，其中，战略性新兴产业完成投资2.18万亿元、同比增长32.1%；研发经费投入1.1万亿元，连续两年破万亿。这表明央企（</w:t>
      </w:r>
      <w:r>
        <w:rPr>
          <w:rFonts w:eastAsia="Times New Roman"/>
          <w:kern w:val="0"/>
          <w:sz w:val="21"/>
          <w:szCs w:val="21"/>
        </w:rPr>
        <w:t>    </w:t>
      </w:r>
      <w:r>
        <w:rPr>
          <w:sz w:val="21"/>
          <w:szCs w:val="21"/>
        </w:rPr>
        <w:t>）</w:t>
      </w:r>
    </w:p>
    <w:p w14:paraId="66B17B1A">
      <w:pPr>
        <w:spacing w:line="240" w:lineRule="auto"/>
        <w:jc w:val="left"/>
        <w:textAlignment w:val="center"/>
        <w:rPr>
          <w:sz w:val="21"/>
          <w:szCs w:val="21"/>
        </w:rPr>
      </w:pPr>
      <w:r>
        <w:rPr>
          <w:sz w:val="21"/>
          <w:szCs w:val="21"/>
        </w:rPr>
        <w:t>①在我国社会主义经济制度中的基础地位不断巩固</w:t>
      </w:r>
      <w:r>
        <w:rPr>
          <w:rFonts w:hint="eastAsia"/>
          <w:sz w:val="21"/>
          <w:szCs w:val="21"/>
          <w:lang w:val="en-US" w:eastAsia="zh-CN"/>
        </w:rPr>
        <w:t xml:space="preserve">  </w:t>
      </w:r>
      <w:r>
        <w:rPr>
          <w:sz w:val="21"/>
          <w:szCs w:val="21"/>
        </w:rPr>
        <w:t>②在推进中国式现代化征程中当好主力军和排头兵</w:t>
      </w:r>
    </w:p>
    <w:p w14:paraId="5FB49E62">
      <w:pPr>
        <w:spacing w:line="240" w:lineRule="auto"/>
        <w:jc w:val="left"/>
        <w:textAlignment w:val="center"/>
        <w:rPr>
          <w:sz w:val="21"/>
          <w:szCs w:val="21"/>
        </w:rPr>
      </w:pPr>
      <w:r>
        <w:rPr>
          <w:sz w:val="21"/>
          <w:szCs w:val="21"/>
        </w:rPr>
        <w:t>③取得的成绩是坚持“国进民退”改革取向的结果</w:t>
      </w:r>
      <w:r>
        <w:rPr>
          <w:rFonts w:hint="eastAsia"/>
          <w:sz w:val="21"/>
          <w:szCs w:val="21"/>
          <w:lang w:val="en-US" w:eastAsia="zh-CN"/>
        </w:rPr>
        <w:t xml:space="preserve">    </w:t>
      </w:r>
      <w:r>
        <w:rPr>
          <w:sz w:val="21"/>
          <w:szCs w:val="21"/>
        </w:rPr>
        <w:t>④着力实施创新驱动战略加快布局发展新质生产力</w:t>
      </w:r>
    </w:p>
    <w:p w14:paraId="2F2CEE51">
      <w:pPr>
        <w:tabs>
          <w:tab w:val="left" w:pos="2078"/>
          <w:tab w:val="left" w:pos="4156"/>
          <w:tab w:val="left" w:pos="6234"/>
        </w:tabs>
        <w:spacing w:line="240" w:lineRule="auto"/>
        <w:jc w:val="left"/>
        <w:textAlignment w:val="center"/>
        <w:rPr>
          <w:sz w:val="21"/>
          <w:szCs w:val="21"/>
        </w:rPr>
      </w:pPr>
      <w:r>
        <w:rPr>
          <w:sz w:val="21"/>
          <w:szCs w:val="21"/>
        </w:rPr>
        <w:t>A．①③</w:t>
      </w:r>
      <w:r>
        <w:rPr>
          <w:sz w:val="21"/>
          <w:szCs w:val="21"/>
        </w:rPr>
        <w:tab/>
      </w:r>
      <w:r>
        <w:rPr>
          <w:sz w:val="21"/>
          <w:szCs w:val="21"/>
        </w:rPr>
        <w:t>B．①④</w:t>
      </w:r>
      <w:r>
        <w:rPr>
          <w:sz w:val="21"/>
          <w:szCs w:val="21"/>
        </w:rPr>
        <w:tab/>
      </w:r>
      <w:r>
        <w:rPr>
          <w:sz w:val="21"/>
          <w:szCs w:val="21"/>
        </w:rPr>
        <w:t>C．②③</w:t>
      </w:r>
      <w:r>
        <w:rPr>
          <w:sz w:val="21"/>
          <w:szCs w:val="21"/>
        </w:rPr>
        <w:tab/>
      </w:r>
      <w:r>
        <w:rPr>
          <w:sz w:val="21"/>
          <w:szCs w:val="21"/>
        </w:rPr>
        <w:t>D．②④</w:t>
      </w:r>
    </w:p>
    <w:p w14:paraId="69BF75A9">
      <w:pPr>
        <w:spacing w:line="240" w:lineRule="auto"/>
        <w:jc w:val="left"/>
        <w:textAlignment w:val="center"/>
        <w:rPr>
          <w:sz w:val="21"/>
          <w:szCs w:val="21"/>
        </w:rPr>
      </w:pPr>
      <w:r>
        <w:rPr>
          <w:sz w:val="21"/>
          <w:szCs w:val="21"/>
        </w:rPr>
        <w:t>13．2023年12月13日，国家医保药品目录在京发布，此次调整共有126个药品新增进人国家医保药品目录，1个药品被调出目录，谈判或竞价成功的药品价格平均降幅61.7%。新版医保药品目录内药品总数达到3088种。国家组织医保谈判（</w:t>
      </w:r>
      <w:r>
        <w:rPr>
          <w:rFonts w:eastAsia="Times New Roman"/>
          <w:kern w:val="0"/>
          <w:sz w:val="21"/>
          <w:szCs w:val="21"/>
        </w:rPr>
        <w:t>   </w:t>
      </w:r>
      <w:r>
        <w:rPr>
          <w:sz w:val="21"/>
          <w:szCs w:val="21"/>
        </w:rPr>
        <w:t>）</w:t>
      </w:r>
    </w:p>
    <w:p w14:paraId="51C87DC4">
      <w:pPr>
        <w:spacing w:line="240" w:lineRule="auto"/>
        <w:jc w:val="left"/>
        <w:textAlignment w:val="center"/>
        <w:rPr>
          <w:sz w:val="21"/>
          <w:szCs w:val="21"/>
        </w:rPr>
      </w:pPr>
      <w:r>
        <w:rPr>
          <w:sz w:val="21"/>
          <w:szCs w:val="21"/>
        </w:rPr>
        <w:t>①彰显了国家在药品价格形成中的主导地位</w:t>
      </w:r>
      <w:r>
        <w:rPr>
          <w:rFonts w:hint="eastAsia"/>
          <w:sz w:val="21"/>
          <w:szCs w:val="21"/>
          <w:lang w:val="en-US" w:eastAsia="zh-CN"/>
        </w:rPr>
        <w:t xml:space="preserve">   </w:t>
      </w:r>
      <w:r>
        <w:rPr>
          <w:sz w:val="21"/>
          <w:szCs w:val="21"/>
        </w:rPr>
        <w:t>②坚持了有效市场和有为政府相结合的原则</w:t>
      </w:r>
    </w:p>
    <w:p w14:paraId="3B9F90E4">
      <w:pPr>
        <w:spacing w:line="240" w:lineRule="auto"/>
        <w:jc w:val="left"/>
        <w:textAlignment w:val="center"/>
        <w:rPr>
          <w:sz w:val="21"/>
          <w:szCs w:val="21"/>
        </w:rPr>
      </w:pPr>
      <w:r>
        <w:rPr>
          <w:sz w:val="21"/>
          <w:szCs w:val="21"/>
        </w:rPr>
        <w:t>③运用国家行政权力迫使企业做出利润让步</w:t>
      </w:r>
      <w:r>
        <w:rPr>
          <w:rFonts w:hint="eastAsia"/>
          <w:sz w:val="21"/>
          <w:szCs w:val="21"/>
          <w:lang w:val="en-US" w:eastAsia="zh-CN"/>
        </w:rPr>
        <w:t xml:space="preserve">   </w:t>
      </w:r>
      <w:r>
        <w:rPr>
          <w:sz w:val="21"/>
          <w:szCs w:val="21"/>
        </w:rPr>
        <w:t>④坚持了以人民为中心，减轻病患医疗负担</w:t>
      </w:r>
    </w:p>
    <w:p w14:paraId="738661DA">
      <w:pPr>
        <w:tabs>
          <w:tab w:val="left" w:pos="2078"/>
          <w:tab w:val="left" w:pos="4156"/>
          <w:tab w:val="left" w:pos="6234"/>
        </w:tabs>
        <w:spacing w:line="240" w:lineRule="auto"/>
        <w:jc w:val="left"/>
        <w:textAlignment w:val="center"/>
        <w:rPr>
          <w:sz w:val="21"/>
          <w:szCs w:val="21"/>
        </w:rPr>
      </w:pPr>
      <w:r>
        <w:rPr>
          <w:sz w:val="21"/>
          <w:szCs w:val="21"/>
        </w:rPr>
        <w:t>A．①②</w:t>
      </w:r>
      <w:r>
        <w:rPr>
          <w:sz w:val="21"/>
          <w:szCs w:val="21"/>
        </w:rPr>
        <w:tab/>
      </w:r>
      <w:r>
        <w:rPr>
          <w:sz w:val="21"/>
          <w:szCs w:val="21"/>
        </w:rPr>
        <w:t>B．①③</w:t>
      </w:r>
      <w:r>
        <w:rPr>
          <w:sz w:val="21"/>
          <w:szCs w:val="21"/>
        </w:rPr>
        <w:tab/>
      </w:r>
      <w:r>
        <w:rPr>
          <w:sz w:val="21"/>
          <w:szCs w:val="21"/>
        </w:rPr>
        <w:t>C．②④</w:t>
      </w:r>
      <w:r>
        <w:rPr>
          <w:sz w:val="21"/>
          <w:szCs w:val="21"/>
        </w:rPr>
        <w:tab/>
      </w:r>
      <w:r>
        <w:rPr>
          <w:sz w:val="21"/>
          <w:szCs w:val="21"/>
        </w:rPr>
        <w:t>D．③④</w:t>
      </w:r>
    </w:p>
    <w:p w14:paraId="0564DF09">
      <w:pPr>
        <w:spacing w:line="240" w:lineRule="auto"/>
        <w:jc w:val="left"/>
        <w:textAlignment w:val="center"/>
        <w:rPr>
          <w:sz w:val="21"/>
          <w:szCs w:val="21"/>
        </w:rPr>
      </w:pPr>
      <w:r>
        <w:rPr>
          <w:sz w:val="21"/>
          <w:szCs w:val="21"/>
        </w:rPr>
        <w:t>14．与往年同期相比，今年秋冬季菜价明显偏低。11月份，农业农村部监测的28种蔬菜全国平均批发价每公斤4.58元，环比下跌5.8%，较近三年同期平均价低5.2%。对此，下列推断正确的是（</w:t>
      </w:r>
      <w:r>
        <w:rPr>
          <w:rFonts w:eastAsia="Times New Roman"/>
          <w:kern w:val="0"/>
          <w:sz w:val="21"/>
          <w:szCs w:val="21"/>
        </w:rPr>
        <w:t>   </w:t>
      </w:r>
      <w:r>
        <w:rPr>
          <w:sz w:val="21"/>
          <w:szCs w:val="21"/>
        </w:rPr>
        <w:t>）</w:t>
      </w:r>
    </w:p>
    <w:p w14:paraId="1B605E5F">
      <w:pPr>
        <w:spacing w:line="240" w:lineRule="auto"/>
        <w:jc w:val="left"/>
        <w:textAlignment w:val="center"/>
        <w:rPr>
          <w:sz w:val="21"/>
          <w:szCs w:val="21"/>
        </w:rPr>
      </w:pPr>
      <w:r>
        <w:rPr>
          <w:sz w:val="21"/>
          <w:szCs w:val="21"/>
        </w:rPr>
        <w:t>①蔬菜价格的下降对生产者的收益有一定的影响</w:t>
      </w:r>
      <w:r>
        <w:rPr>
          <w:rFonts w:hint="eastAsia"/>
          <w:sz w:val="21"/>
          <w:szCs w:val="21"/>
          <w:lang w:val="en-US" w:eastAsia="zh-CN"/>
        </w:rPr>
        <w:t xml:space="preserve">    </w:t>
      </w:r>
      <w:r>
        <w:rPr>
          <w:sz w:val="21"/>
          <w:szCs w:val="21"/>
        </w:rPr>
        <w:t>②城市消费者的生活成本下降，恩格尔系数降低</w:t>
      </w:r>
    </w:p>
    <w:p w14:paraId="3B068B41">
      <w:pPr>
        <w:spacing w:line="240" w:lineRule="auto"/>
        <w:jc w:val="left"/>
        <w:textAlignment w:val="center"/>
        <w:rPr>
          <w:sz w:val="21"/>
          <w:szCs w:val="21"/>
        </w:rPr>
      </w:pPr>
      <w:r>
        <w:rPr>
          <w:sz w:val="21"/>
          <w:szCs w:val="21"/>
        </w:rPr>
        <w:t>③蔬菜价格持续降低使城乡居民收入进一步拉大</w:t>
      </w:r>
      <w:r>
        <w:rPr>
          <w:rFonts w:hint="eastAsia"/>
          <w:sz w:val="21"/>
          <w:szCs w:val="21"/>
          <w:lang w:val="en-US" w:eastAsia="zh-CN"/>
        </w:rPr>
        <w:t xml:space="preserve">    </w:t>
      </w:r>
      <w:r>
        <w:rPr>
          <w:sz w:val="21"/>
          <w:szCs w:val="21"/>
        </w:rPr>
        <w:t>④蔬菜价格的正常波动符合经济运行的一般规律</w:t>
      </w:r>
    </w:p>
    <w:p w14:paraId="051906DF">
      <w:pPr>
        <w:tabs>
          <w:tab w:val="left" w:pos="2078"/>
          <w:tab w:val="left" w:pos="4156"/>
          <w:tab w:val="left" w:pos="6234"/>
        </w:tabs>
        <w:spacing w:line="240" w:lineRule="auto"/>
        <w:jc w:val="left"/>
        <w:textAlignment w:val="center"/>
        <w:rPr>
          <w:sz w:val="21"/>
          <w:szCs w:val="21"/>
        </w:rPr>
      </w:pPr>
      <w:r>
        <w:rPr>
          <w:sz w:val="21"/>
          <w:szCs w:val="21"/>
        </w:rPr>
        <w:t>A．①②</w:t>
      </w:r>
      <w:r>
        <w:rPr>
          <w:sz w:val="21"/>
          <w:szCs w:val="21"/>
        </w:rPr>
        <w:tab/>
      </w:r>
      <w:r>
        <w:rPr>
          <w:sz w:val="21"/>
          <w:szCs w:val="21"/>
        </w:rPr>
        <w:t>B．①④</w:t>
      </w:r>
      <w:r>
        <w:rPr>
          <w:sz w:val="21"/>
          <w:szCs w:val="21"/>
        </w:rPr>
        <w:tab/>
      </w:r>
      <w:r>
        <w:rPr>
          <w:sz w:val="21"/>
          <w:szCs w:val="21"/>
        </w:rPr>
        <w:t>C．②③</w:t>
      </w:r>
      <w:r>
        <w:rPr>
          <w:sz w:val="21"/>
          <w:szCs w:val="21"/>
        </w:rPr>
        <w:tab/>
      </w:r>
      <w:r>
        <w:rPr>
          <w:sz w:val="21"/>
          <w:szCs w:val="21"/>
        </w:rPr>
        <w:t>D．③④</w:t>
      </w:r>
    </w:p>
    <w:p w14:paraId="2C294CB7">
      <w:pPr>
        <w:spacing w:line="240" w:lineRule="auto"/>
        <w:jc w:val="left"/>
        <w:textAlignment w:val="center"/>
        <w:rPr>
          <w:sz w:val="21"/>
          <w:szCs w:val="21"/>
        </w:rPr>
      </w:pPr>
      <w:r>
        <w:rPr>
          <w:sz w:val="21"/>
          <w:szCs w:val="21"/>
        </w:rPr>
        <w:t>15．党的二十大报告首次明确提出了“深化教育领域综合改革，加强教材建设和管理”，体现了党对教材建设的高度重视。必须坚持改革创新，以一流学者锻造一流教材，以教材体系建设的新成果支撑创新发展学科体系建设与发展，回应全面提高人才自主培养水平的时代呼声。一流教材的建设（</w:t>
      </w:r>
      <w:r>
        <w:rPr>
          <w:rFonts w:eastAsia="Times New Roman"/>
          <w:kern w:val="0"/>
          <w:sz w:val="21"/>
          <w:szCs w:val="21"/>
        </w:rPr>
        <w:t>   </w:t>
      </w:r>
      <w:r>
        <w:rPr>
          <w:sz w:val="21"/>
          <w:szCs w:val="21"/>
        </w:rPr>
        <w:t>）</w:t>
      </w:r>
    </w:p>
    <w:p w14:paraId="4770C8B2">
      <w:pPr>
        <w:spacing w:line="240" w:lineRule="auto"/>
        <w:jc w:val="left"/>
        <w:textAlignment w:val="center"/>
        <w:rPr>
          <w:sz w:val="21"/>
          <w:szCs w:val="21"/>
        </w:rPr>
      </w:pPr>
      <w:r>
        <w:rPr>
          <w:sz w:val="21"/>
          <w:szCs w:val="21"/>
        </w:rPr>
        <w:t>①有利于提升人才质量，满足现代经济社会发展的需求</w:t>
      </w:r>
    </w:p>
    <w:p w14:paraId="4CD021B1">
      <w:pPr>
        <w:spacing w:line="240" w:lineRule="auto"/>
        <w:jc w:val="left"/>
        <w:textAlignment w:val="center"/>
        <w:rPr>
          <w:sz w:val="21"/>
          <w:szCs w:val="21"/>
        </w:rPr>
      </w:pPr>
      <w:r>
        <w:rPr>
          <w:sz w:val="21"/>
          <w:szCs w:val="21"/>
        </w:rPr>
        <w:t>②是创新发展的应有之义，着力解决社会公平正义问题</w:t>
      </w:r>
    </w:p>
    <w:p w14:paraId="67A952A6">
      <w:pPr>
        <w:spacing w:line="240" w:lineRule="auto"/>
        <w:jc w:val="left"/>
        <w:textAlignment w:val="center"/>
        <w:rPr>
          <w:sz w:val="21"/>
          <w:szCs w:val="21"/>
        </w:rPr>
      </w:pPr>
      <w:r>
        <w:rPr>
          <w:sz w:val="21"/>
          <w:szCs w:val="21"/>
        </w:rPr>
        <w:t>③有利于落实科教兴国、人才强国战略，破解发展难题</w:t>
      </w:r>
    </w:p>
    <w:p w14:paraId="65D491DB">
      <w:pPr>
        <w:spacing w:line="240" w:lineRule="auto"/>
        <w:jc w:val="left"/>
        <w:textAlignment w:val="center"/>
        <w:rPr>
          <w:sz w:val="21"/>
          <w:szCs w:val="21"/>
        </w:rPr>
      </w:pPr>
      <w:r>
        <w:rPr>
          <w:sz w:val="21"/>
          <w:szCs w:val="21"/>
        </w:rPr>
        <w:t>④表明人才是发展的第一动力，一流教材造就一流人才</w:t>
      </w:r>
    </w:p>
    <w:p w14:paraId="26EC5973">
      <w:pPr>
        <w:tabs>
          <w:tab w:val="left" w:pos="2078"/>
          <w:tab w:val="left" w:pos="4156"/>
          <w:tab w:val="left" w:pos="6234"/>
        </w:tabs>
        <w:spacing w:line="240" w:lineRule="auto"/>
        <w:jc w:val="left"/>
        <w:textAlignment w:val="center"/>
        <w:rPr>
          <w:sz w:val="21"/>
          <w:szCs w:val="21"/>
        </w:rPr>
      </w:pPr>
      <w:r>
        <w:rPr>
          <w:sz w:val="21"/>
          <w:szCs w:val="21"/>
        </w:rPr>
        <w:t>A．①③</w:t>
      </w:r>
      <w:r>
        <w:rPr>
          <w:sz w:val="21"/>
          <w:szCs w:val="21"/>
        </w:rPr>
        <w:tab/>
      </w:r>
      <w:r>
        <w:rPr>
          <w:sz w:val="21"/>
          <w:szCs w:val="21"/>
        </w:rPr>
        <w:t>B．①④</w:t>
      </w:r>
      <w:r>
        <w:rPr>
          <w:sz w:val="21"/>
          <w:szCs w:val="21"/>
        </w:rPr>
        <w:tab/>
      </w:r>
      <w:r>
        <w:rPr>
          <w:sz w:val="21"/>
          <w:szCs w:val="21"/>
        </w:rPr>
        <w:t>C．②③</w:t>
      </w:r>
      <w:r>
        <w:rPr>
          <w:sz w:val="21"/>
          <w:szCs w:val="21"/>
        </w:rPr>
        <w:tab/>
      </w:r>
      <w:r>
        <w:rPr>
          <w:sz w:val="21"/>
          <w:szCs w:val="21"/>
        </w:rPr>
        <w:t>D．②④</w:t>
      </w:r>
    </w:p>
    <w:p w14:paraId="543050EA">
      <w:pPr>
        <w:spacing w:line="240" w:lineRule="auto"/>
        <w:jc w:val="left"/>
        <w:textAlignment w:val="center"/>
        <w:rPr>
          <w:sz w:val="21"/>
          <w:szCs w:val="21"/>
        </w:rPr>
      </w:pPr>
      <w:r>
        <w:rPr>
          <w:sz w:val="21"/>
          <w:szCs w:val="21"/>
        </w:rPr>
        <w:t>16．高一(3)班小明同学在看新闻时收集了如下信息：2023年前十个月，全国一般公共预算教育支出累计超3.2万亿元，较去年同期增长5%；前三季度，跨省异地就医直接结算约3645万人次，减少个人垫付超413亿元；截至11月底，全国铁路营业里程超15.55万公里、其中高铁超4.37万公里。给以上新闻取一个标题，最恰当的是（</w:t>
      </w:r>
      <w:r>
        <w:rPr>
          <w:rFonts w:eastAsia="Times New Roman"/>
          <w:kern w:val="0"/>
          <w:sz w:val="21"/>
          <w:szCs w:val="21"/>
        </w:rPr>
        <w:t>   </w:t>
      </w:r>
      <w:r>
        <w:rPr>
          <w:sz w:val="21"/>
          <w:szCs w:val="21"/>
        </w:rPr>
        <w:t>）</w:t>
      </w:r>
    </w:p>
    <w:p w14:paraId="1019086F">
      <w:pPr>
        <w:spacing w:line="240" w:lineRule="auto"/>
        <w:jc w:val="left"/>
        <w:textAlignment w:val="center"/>
        <w:rPr>
          <w:sz w:val="21"/>
          <w:szCs w:val="21"/>
        </w:rPr>
      </w:pPr>
      <w:r>
        <w:rPr>
          <w:sz w:val="21"/>
          <w:szCs w:val="21"/>
        </w:rPr>
        <w:t>A．加大教育投入力度，促进教育均衡发展</w:t>
      </w:r>
      <w:r>
        <w:rPr>
          <w:rFonts w:hint="eastAsia"/>
          <w:sz w:val="21"/>
          <w:szCs w:val="21"/>
          <w:lang w:val="en-US" w:eastAsia="zh-CN"/>
        </w:rPr>
        <w:t xml:space="preserve">     </w:t>
      </w:r>
      <w:r>
        <w:rPr>
          <w:sz w:val="21"/>
          <w:szCs w:val="21"/>
        </w:rPr>
        <w:t>B．完善医疗保险制度，减轻群众就医负担</w:t>
      </w:r>
    </w:p>
    <w:p w14:paraId="70DB0C5E">
      <w:pPr>
        <w:spacing w:line="240" w:lineRule="auto"/>
        <w:jc w:val="left"/>
        <w:textAlignment w:val="center"/>
        <w:rPr>
          <w:rFonts w:hint="eastAsia" w:ascii="黑体" w:hAnsi="黑体" w:eastAsia="黑体" w:cs="黑体"/>
          <w:b/>
          <w:color w:val="000000"/>
          <w:sz w:val="21"/>
          <w:szCs w:val="21"/>
        </w:rPr>
      </w:pPr>
      <w:r>
        <w:rPr>
          <w:sz w:val="21"/>
          <w:szCs w:val="21"/>
        </w:rPr>
        <w:t>C．加快交通设施建设，方便人员物资流通</w:t>
      </w:r>
      <w:r>
        <w:rPr>
          <w:rFonts w:hint="eastAsia"/>
          <w:sz w:val="21"/>
          <w:szCs w:val="21"/>
          <w:lang w:val="en-US" w:eastAsia="zh-CN"/>
        </w:rPr>
        <w:t xml:space="preserve">     </w:t>
      </w:r>
      <w:r>
        <w:rPr>
          <w:sz w:val="21"/>
          <w:szCs w:val="21"/>
        </w:rPr>
        <w:t>D．共享发展硕果累累，民生答卷成色十足</w:t>
      </w:r>
    </w:p>
    <w:p w14:paraId="1E765CB3">
      <w:pPr>
        <w:spacing w:line="240" w:lineRule="auto"/>
        <w:jc w:val="left"/>
        <w:textAlignment w:val="center"/>
        <w:rPr>
          <w:rFonts w:hint="eastAsia" w:ascii="宋体" w:hAnsi="宋体" w:cs="宋体"/>
          <w:b/>
          <w:color w:val="000000"/>
          <w:sz w:val="21"/>
          <w:szCs w:val="21"/>
        </w:rPr>
      </w:pPr>
      <w:r>
        <w:rPr>
          <w:rFonts w:ascii="宋体" w:hAnsi="宋体" w:cs="宋体"/>
          <w:b/>
          <w:color w:val="000000"/>
          <w:sz w:val="21"/>
          <w:szCs w:val="21"/>
        </w:rPr>
        <w:t>二、主观题</w:t>
      </w:r>
    </w:p>
    <w:p w14:paraId="3DCEFDE5">
      <w:pPr>
        <w:rPr>
          <w:b/>
          <w:bCs/>
        </w:rPr>
      </w:pPr>
      <w:r>
        <w:rPr>
          <w:b/>
          <w:bCs/>
        </w:rPr>
        <w:t>17．阅读材料，回答问题。</w:t>
      </w:r>
    </w:p>
    <w:p w14:paraId="48EEFCE1">
      <w:pPr>
        <w:ind w:firstLine="420" w:firstLineChars="200"/>
      </w:pPr>
      <w:r>
        <w:t>党的二十大报告指出，“高质量发展是全面建设社会主义现代化国家的首要任务”。</w:t>
      </w:r>
    </w:p>
    <w:p w14:paraId="1368108B">
      <w:r>
        <w:t>聚焦首要任务，要完善创新体制机制，保护创新权益，优化创新生态，激发创新活力。要将协调作为内生特点，持续推进区域协调发展和城乡协调发展，着力消除现代化发展的短板。要使绿色成为普遍形态，加强生态环境治理，推进绿色经济增长。要坚持开放发展的必由之路，持续推进高水平对外开放，加快构建开放型经济新体制。要坚持发展为了人民、发展依靠人民、发展成果由人民共享，优化国民收入分配格局，完善基本公共服务体系，实现好、维护好、发展好最广大人民的根本利益。</w:t>
      </w:r>
    </w:p>
    <w:p w14:paraId="1A4F5EF1">
      <w:pPr>
        <w:rPr>
          <w:b/>
          <w:bCs/>
        </w:rPr>
      </w:pPr>
      <w:r>
        <w:rPr>
          <w:b/>
          <w:bCs/>
        </w:rPr>
        <w:t>结合材料，运用《经济与社会》的知识，说明怎样完整、准确、全面贯彻新发展理念？</w:t>
      </w:r>
    </w:p>
    <w:p w14:paraId="40709732">
      <w:pPr>
        <w:rPr>
          <w:b/>
          <w:bCs/>
        </w:rPr>
      </w:pPr>
    </w:p>
    <w:p w14:paraId="4F54B702"/>
    <w:p w14:paraId="5C304FE9"/>
    <w:p w14:paraId="0110543D"/>
    <w:p w14:paraId="3219E91C"/>
    <w:p w14:paraId="40AD06B6"/>
    <w:p w14:paraId="71FA1119">
      <w:pPr>
        <w:rPr>
          <w:b/>
          <w:bCs/>
        </w:rPr>
      </w:pPr>
      <w:r>
        <w:rPr>
          <w:b/>
          <w:bCs/>
        </w:rPr>
        <w:t>18．阅读材料，完成下列要求。</w:t>
      </w:r>
    </w:p>
    <w:p w14:paraId="216EEC36">
      <w:pPr>
        <w:ind w:firstLine="420" w:firstLineChars="200"/>
      </w:pPr>
      <w:r>
        <w:t>2024年1月23日上午，安徽省十四届人大二次会议隆重开幕。省委书记韩俊主持，省长王清宪向大会作政府工作报告。2024年，安徽省政府工作报告(节选) 指出，扎实推进人才兴皖工程，深入实施江淮英才培养计划和万名博士后聚江淮行动，深化职务科技成果赋权改革；提升区域协同发展水平，加快皖北全面振兴，加快皖西大别山革命老区振兴发展，落细合肥都市圈各区域功能分工，加快建设大黄山世界级休闲度假康养旅游目的地； 更大力度推进高水平对外开放，拓展向海而兴广阔空间，大力吸引和利用外资，加快培育外贸新动能； 加强高品质生态环境建设，全面推进绿色低碳发展，美丽安徽建设取得新突破。更新改造市政污水管网1500公里，新增城市生活污水日处理能力40万吨，完成人工造林25.95万亩，实施 10处重要湿地保护修复工程，新增支撑性电源装机 222万千瓦，可再生能源发电装机500 万千瓦以上；着力惠民生解民忧暖民心，持续增进民生福祉，推动“民生呼应”提质增效，提升教育公平和质量，促进高质量充分就业，增强社会保障能力，提高健康安徽建设水平。</w:t>
      </w:r>
    </w:p>
    <w:p w14:paraId="37689E79">
      <w:pPr>
        <w:rPr>
          <w:b/>
          <w:bCs/>
        </w:rPr>
      </w:pPr>
      <w:r>
        <w:rPr>
          <w:b/>
          <w:bCs/>
        </w:rPr>
        <w:t>结合材料，运用《经济与社会》的知识，分析安徽省的政府工作报告是如何贯彻新发展理念的。</w:t>
      </w:r>
    </w:p>
    <w:p w14:paraId="14382BA3">
      <w:pPr>
        <w:rPr>
          <w:b/>
          <w:bCs/>
        </w:rPr>
      </w:pPr>
    </w:p>
    <w:p w14:paraId="76585FB0"/>
    <w:p w14:paraId="45E1D6DA">
      <w:pPr>
        <w:spacing w:line="240" w:lineRule="auto"/>
        <w:jc w:val="center"/>
        <w:textAlignment w:val="center"/>
        <w:rPr>
          <w:rFonts w:ascii="宋体" w:hAnsi="宋体" w:cs="宋体"/>
          <w:b/>
          <w:color w:val="000000"/>
          <w:sz w:val="21"/>
          <w:szCs w:val="21"/>
        </w:rPr>
      </w:pPr>
    </w:p>
    <w:p w14:paraId="6257CE07">
      <w:pPr>
        <w:jc w:val="center"/>
        <w:textAlignment w:val="center"/>
        <w:rPr>
          <w:rFonts w:ascii="宋体" w:hAnsi="宋体" w:cs="宋体"/>
          <w:b/>
          <w:color w:val="000000"/>
          <w:sz w:val="21"/>
          <w:szCs w:val="21"/>
        </w:rPr>
      </w:pPr>
    </w:p>
    <w:p w14:paraId="186E5E3C">
      <w:pPr>
        <w:jc w:val="center"/>
        <w:textAlignment w:val="center"/>
        <w:rPr>
          <w:rFonts w:ascii="宋体" w:hAnsi="宋体" w:cs="宋体"/>
          <w:b/>
          <w:color w:val="000000"/>
          <w:sz w:val="21"/>
          <w:szCs w:val="21"/>
        </w:rPr>
      </w:pPr>
    </w:p>
    <w:p w14:paraId="1E8167F9">
      <w:pPr>
        <w:jc w:val="center"/>
        <w:textAlignment w:val="center"/>
        <w:rPr>
          <w:rFonts w:ascii="宋体" w:hAnsi="宋体" w:cs="宋体"/>
          <w:b/>
          <w:color w:val="000000"/>
          <w:sz w:val="21"/>
          <w:szCs w:val="21"/>
        </w:rPr>
      </w:pPr>
    </w:p>
    <w:p w14:paraId="2282CA03">
      <w:pPr>
        <w:jc w:val="center"/>
        <w:textAlignment w:val="center"/>
        <w:rPr>
          <w:rFonts w:ascii="宋体" w:hAnsi="宋体" w:cs="宋体"/>
          <w:b/>
          <w:color w:val="000000"/>
          <w:sz w:val="21"/>
          <w:szCs w:val="21"/>
        </w:rPr>
      </w:pPr>
    </w:p>
    <w:p w14:paraId="0E5646E7">
      <w:pPr>
        <w:jc w:val="center"/>
        <w:textAlignment w:val="center"/>
        <w:rPr>
          <w:rFonts w:ascii="宋体" w:hAnsi="宋体" w:cs="宋体"/>
          <w:b/>
          <w:color w:val="000000"/>
          <w:sz w:val="21"/>
          <w:szCs w:val="21"/>
        </w:rPr>
      </w:pPr>
      <w:bookmarkStart w:id="0" w:name="_GoBack"/>
      <w:bookmarkEnd w:id="0"/>
    </w:p>
    <w:sectPr>
      <w:headerReference r:id="rId3" w:type="default"/>
      <w:footerReference r:id="rId5" w:type="default"/>
      <w:headerReference r:id="rId4" w:type="even"/>
      <w:footerReference r:id="rId6" w:type="even"/>
      <w:pgSz w:w="20636" w:h="14570" w:orient="landscape"/>
      <w:pgMar w:top="567" w:right="567" w:bottom="567" w:left="567" w:header="851" w:footer="992" w:gutter="0"/>
      <w:pgNumType w:start="1"/>
      <w:cols w:equalWidth="0" w:num="2">
        <w:col w:w="9538" w:space="425"/>
        <w:col w:w="9538"/>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493CC">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p w14:paraId="65FA8743">
    <w:pPr>
      <w:tabs>
        <w:tab w:val="center" w:pos="4153"/>
        <w:tab w:val="right" w:pos="8306"/>
      </w:tabs>
      <w:snapToGrid w:val="0"/>
      <w:jc w:val="left"/>
      <w:rPr>
        <w:kern w:val="0"/>
        <w:sz w:val="2"/>
        <w:szCs w:val="2"/>
      </w:rPr>
    </w:pPr>
    <w:r>
      <w:rPr>
        <w:color w:val="FFFFFF"/>
        <w:sz w:val="2"/>
        <w:szCs w:val="2"/>
      </w:rPr>
      <w:pict>
        <v:shape id="_x0000_s2053" o:spid="_x0000_s2053"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_x0000_s2054" o:spid="_x0000_s2054"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4F138">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60DC2"/>
  <w:p w14:paraId="1E4D8D56">
    <w:pPr>
      <w:pBdr>
        <w:bottom w:val="none" w:color="auto" w:sz="0" w:space="1"/>
      </w:pBdr>
      <w:snapToGrid w:val="0"/>
      <w:rPr>
        <w:kern w:val="0"/>
        <w:sz w:val="2"/>
        <w:szCs w:val="2"/>
      </w:rPr>
    </w:pPr>
    <w:r>
      <w:pict>
        <v:shape id="图片 4" o:spid="_x0000_s2051"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B94A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IzNzdiOTkxYWZmMDg3ZDBiNmNlMWY1ZjNmZjg2MzMifQ=="/>
  </w:docVars>
  <w:rsids>
    <w:rsidRoot w:val="00C806B0"/>
    <w:rsid w:val="000232A6"/>
    <w:rsid w:val="00043B54"/>
    <w:rsid w:val="00065CD2"/>
    <w:rsid w:val="001D7A06"/>
    <w:rsid w:val="00284433"/>
    <w:rsid w:val="002A1EC6"/>
    <w:rsid w:val="002E035E"/>
    <w:rsid w:val="003F38F2"/>
    <w:rsid w:val="004151FC"/>
    <w:rsid w:val="0064153B"/>
    <w:rsid w:val="006B16C5"/>
    <w:rsid w:val="00776133"/>
    <w:rsid w:val="00855687"/>
    <w:rsid w:val="008C07DE"/>
    <w:rsid w:val="009E611B"/>
    <w:rsid w:val="00A30CCE"/>
    <w:rsid w:val="00AC3E9C"/>
    <w:rsid w:val="00BC4F14"/>
    <w:rsid w:val="00BC62FB"/>
    <w:rsid w:val="00BF535F"/>
    <w:rsid w:val="00C02FC6"/>
    <w:rsid w:val="00C806B0"/>
    <w:rsid w:val="00E476EE"/>
    <w:rsid w:val="00EF035E"/>
    <w:rsid w:val="00FA429B"/>
    <w:rsid w:val="20350209"/>
    <w:rsid w:val="29BB232B"/>
    <w:rsid w:val="2C68393D"/>
    <w:rsid w:val="46A649FB"/>
    <w:rsid w:val="62E359D3"/>
    <w:rsid w:val="73C658BC"/>
    <w:rsid w:val="77EE76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252525257B75232B38-A165-1FB7-499C-2E1C792CACB5%2525252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252525257B75232B38-A165-1FB7-499C-2E1C792CACB5%2525252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1"/>
    <customShpInfo spid="_x0000_s2053"/>
    <customShpInfo spid="_x0000_s2054"/>
  </customShpExts>
</s:customData>
</file>

<file path=customXml/item2.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8CE314-9BAF-4030-8F04-159C3E31C44C}">
  <ds:schemaRefs/>
</ds:datastoreItem>
</file>

<file path=docProps/app.xml><?xml version="1.0" encoding="utf-8"?>
<Properties xmlns="http://schemas.openxmlformats.org/officeDocument/2006/extended-properties" xmlns:vt="http://schemas.openxmlformats.org/officeDocument/2006/docPropsVTypes">
  <Template>Normal.dotm</Template>
  <Pages>2</Pages>
  <Words>9539</Words>
  <Characters>9793</Characters>
  <Lines>0</Lines>
  <Paragraphs>0</Paragraphs>
  <TotalTime>10</TotalTime>
  <ScaleCrop>false</ScaleCrop>
  <LinksUpToDate>false</LinksUpToDate>
  <CharactersWithSpaces>10249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组卷网zujuan.xkw.com</dc:creator>
  <cp:lastModifiedBy>林垂明</cp:lastModifiedBy>
  <dcterms:modified xsi:type="dcterms:W3CDTF">2024-11-13T13:58:34Z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2052-12.1.0.18276</vt:lpwstr>
  </property>
  <property fmtid="{D5CDD505-2E9C-101B-9397-08002B2CF9AE}" pid="7" name="ICV">
    <vt:lpwstr>DC15C9996921468B9BF6819C323E73DE_13</vt:lpwstr>
  </property>
</Properties>
</file>